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B4D0" w14:textId="77777777" w:rsidR="00671334" w:rsidRPr="00182675" w:rsidRDefault="00671334" w:rsidP="00671334">
      <w:pPr>
        <w:spacing w:line="276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182675">
        <w:rPr>
          <w:rFonts w:ascii="Helvetica" w:hAnsi="Helvetica" w:cs="Helvetica"/>
          <w:b/>
          <w:bCs/>
          <w:sz w:val="28"/>
          <w:szCs w:val="28"/>
        </w:rPr>
        <w:t xml:space="preserve">Az ország legdinamikusabban fejlődő színháza a Szegedi </w:t>
      </w:r>
      <w:r>
        <w:rPr>
          <w:rFonts w:ascii="Helvetica" w:hAnsi="Helvetica" w:cs="Helvetica"/>
          <w:b/>
          <w:bCs/>
          <w:sz w:val="28"/>
          <w:szCs w:val="28"/>
        </w:rPr>
        <w:t>S</w:t>
      </w:r>
      <w:r w:rsidRPr="00182675">
        <w:rPr>
          <w:rFonts w:ascii="Helvetica" w:hAnsi="Helvetica" w:cs="Helvetica"/>
          <w:b/>
          <w:bCs/>
          <w:sz w:val="28"/>
          <w:szCs w:val="28"/>
        </w:rPr>
        <w:t>zabadtéri</w:t>
      </w:r>
    </w:p>
    <w:p w14:paraId="2F167E88" w14:textId="77777777" w:rsidR="00671334" w:rsidRPr="00BE0FEA" w:rsidRDefault="00671334" w:rsidP="00671334">
      <w:pPr>
        <w:spacing w:line="360" w:lineRule="auto"/>
        <w:jc w:val="both"/>
        <w:rPr>
          <w:rFonts w:ascii="Helvetica" w:hAnsi="Helvetica" w:cs="Helvetica"/>
          <w:b/>
          <w:bCs/>
        </w:rPr>
      </w:pPr>
      <w:r w:rsidRPr="00BE0FEA">
        <w:rPr>
          <w:rFonts w:ascii="Helvetica" w:hAnsi="Helvetica" w:cs="Helvetica"/>
          <w:b/>
          <w:bCs/>
        </w:rPr>
        <w:t>Országos viszonylatban</w:t>
      </w:r>
      <w:r>
        <w:rPr>
          <w:rFonts w:ascii="Helvetica" w:hAnsi="Helvetica" w:cs="Helvetica"/>
          <w:b/>
          <w:bCs/>
        </w:rPr>
        <w:t xml:space="preserve"> a</w:t>
      </w:r>
      <w:r w:rsidRPr="00BE0FEA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 xml:space="preserve">legnagyobb </w:t>
      </w:r>
      <w:r w:rsidRPr="00BE0FEA">
        <w:rPr>
          <w:rFonts w:ascii="Helvetica" w:hAnsi="Helvetica" w:cs="Helvetica"/>
          <w:b/>
          <w:bCs/>
        </w:rPr>
        <w:t>jegyárbevétel</w:t>
      </w:r>
      <w:r>
        <w:rPr>
          <w:rFonts w:ascii="Helvetica" w:hAnsi="Helvetica" w:cs="Helvetica"/>
          <w:b/>
          <w:bCs/>
        </w:rPr>
        <w:t xml:space="preserve">- </w:t>
      </w:r>
      <w:r w:rsidRPr="00BE0FEA">
        <w:rPr>
          <w:rFonts w:ascii="Helvetica" w:hAnsi="Helvetica" w:cs="Helvetica"/>
          <w:b/>
          <w:bCs/>
        </w:rPr>
        <w:t>és nézőszám növekedés</w:t>
      </w:r>
      <w:r>
        <w:rPr>
          <w:rFonts w:ascii="Helvetica" w:hAnsi="Helvetica" w:cs="Helvetica"/>
          <w:b/>
          <w:bCs/>
        </w:rPr>
        <w:t xml:space="preserve">i ütem </w:t>
      </w:r>
      <w:r w:rsidRPr="00BE0FEA">
        <w:rPr>
          <w:rFonts w:ascii="Helvetica" w:hAnsi="Helvetica" w:cs="Helvetica"/>
          <w:b/>
          <w:bCs/>
        </w:rPr>
        <w:t>j</w:t>
      </w:r>
      <w:r>
        <w:rPr>
          <w:rFonts w:ascii="Helvetica" w:hAnsi="Helvetica" w:cs="Helvetica"/>
          <w:b/>
          <w:bCs/>
        </w:rPr>
        <w:t>ellemzi</w:t>
      </w:r>
      <w:r w:rsidRPr="00BE0FEA">
        <w:rPr>
          <w:rFonts w:ascii="Helvetica" w:hAnsi="Helvetica" w:cs="Helvetica"/>
          <w:b/>
          <w:bCs/>
        </w:rPr>
        <w:t xml:space="preserve"> a Szegedi Szabadtérit - ez derült ki a társaság</w:t>
      </w:r>
      <w:r>
        <w:rPr>
          <w:rFonts w:ascii="Helvetica" w:hAnsi="Helvetica" w:cs="Helvetica"/>
          <w:b/>
          <w:bCs/>
        </w:rPr>
        <w:t>ot vizsgáló elemzésből</w:t>
      </w:r>
      <w:r w:rsidRPr="00BE0FEA">
        <w:rPr>
          <w:rFonts w:ascii="Helvetica" w:hAnsi="Helvetica" w:cs="Helvetica"/>
          <w:b/>
          <w:bCs/>
        </w:rPr>
        <w:t xml:space="preserve">. </w:t>
      </w:r>
      <w:r>
        <w:rPr>
          <w:rFonts w:ascii="Helvetica" w:hAnsi="Helvetica" w:cs="Helvetica"/>
          <w:b/>
          <w:bCs/>
        </w:rPr>
        <w:t xml:space="preserve">A jelentés </w:t>
      </w:r>
      <w:r w:rsidRPr="00BE0FEA">
        <w:rPr>
          <w:rFonts w:ascii="Helvetica" w:hAnsi="Helvetica" w:cs="Helvetica"/>
          <w:b/>
          <w:bCs/>
        </w:rPr>
        <w:t xml:space="preserve">szerint a nézői bizalom is itt a </w:t>
      </w:r>
      <w:r w:rsidRPr="004F28FC">
        <w:rPr>
          <w:rFonts w:ascii="Helvetica" w:hAnsi="Helvetica" w:cs="Helvetica"/>
          <w:b/>
          <w:bCs/>
        </w:rPr>
        <w:t>legjelentősebb, melyet a magasabb jegyárak vállalása is alátámaszt</w:t>
      </w:r>
      <w:r>
        <w:rPr>
          <w:rFonts w:ascii="Helvetica" w:hAnsi="Helvetica" w:cs="Helvetica"/>
          <w:b/>
          <w:bCs/>
        </w:rPr>
        <w:t>,</w:t>
      </w:r>
      <w:r w:rsidRPr="004F28FC">
        <w:rPr>
          <w:rFonts w:ascii="Helvetica" w:hAnsi="Helvetica" w:cs="Helvetica"/>
          <w:b/>
          <w:bCs/>
        </w:rPr>
        <w:t xml:space="preserve"> ezzel</w:t>
      </w:r>
      <w:r>
        <w:rPr>
          <w:rFonts w:ascii="Helvetica" w:hAnsi="Helvetica" w:cs="Helvetica"/>
          <w:b/>
          <w:bCs/>
        </w:rPr>
        <w:t xml:space="preserve"> a Játékok </w:t>
      </w:r>
      <w:r w:rsidRPr="004F28FC">
        <w:rPr>
          <w:rFonts w:ascii="Helvetica" w:hAnsi="Helvetica" w:cs="Helvetica"/>
          <w:b/>
          <w:bCs/>
        </w:rPr>
        <w:t>az ország színházi prémiumtermék</w:t>
      </w:r>
      <w:r>
        <w:rPr>
          <w:rFonts w:ascii="Helvetica" w:hAnsi="Helvetica" w:cs="Helvetica"/>
          <w:b/>
          <w:bCs/>
        </w:rPr>
        <w:t>évé vált.</w:t>
      </w:r>
    </w:p>
    <w:p w14:paraId="0D0101A0" w14:textId="77777777" w:rsidR="00671334" w:rsidRPr="00E50BAF" w:rsidRDefault="00671334" w:rsidP="00671334">
      <w:pPr>
        <w:spacing w:line="360" w:lineRule="auto"/>
        <w:jc w:val="both"/>
        <w:rPr>
          <w:rFonts w:ascii="Helvetica" w:hAnsi="Helvetica" w:cs="Helvetica"/>
          <w:i/>
          <w:iCs/>
        </w:rPr>
      </w:pPr>
      <w:r w:rsidRPr="00BE0FEA">
        <w:rPr>
          <w:rFonts w:ascii="Helvetica" w:hAnsi="Helvetica" w:cs="Helvetica"/>
        </w:rPr>
        <w:t xml:space="preserve">A Szegedi </w:t>
      </w:r>
      <w:r>
        <w:rPr>
          <w:rFonts w:ascii="Helvetica" w:hAnsi="Helvetica" w:cs="Helvetica"/>
        </w:rPr>
        <w:t>Szabadtéri</w:t>
      </w:r>
      <w:r w:rsidRPr="00BE0FEA">
        <w:rPr>
          <w:rFonts w:ascii="Helvetica" w:hAnsi="Helvetica" w:cs="Helvetica"/>
        </w:rPr>
        <w:t xml:space="preserve"> gazdasági társasággá alakulása óta minden évben reprezentatív közön</w:t>
      </w:r>
      <w:r>
        <w:rPr>
          <w:rFonts w:ascii="Helvetica" w:hAnsi="Helvetica" w:cs="Helvetica"/>
        </w:rPr>
        <w:t>s</w:t>
      </w:r>
      <w:r w:rsidRPr="00BE0FEA">
        <w:rPr>
          <w:rFonts w:ascii="Helvetica" w:hAnsi="Helvetica" w:cs="Helvetica"/>
        </w:rPr>
        <w:t>égkutatást végez</w:t>
      </w:r>
      <w:r>
        <w:rPr>
          <w:rFonts w:ascii="Helvetica" w:hAnsi="Helvetica" w:cs="Helvetica"/>
        </w:rPr>
        <w:t>, mely</w:t>
      </w:r>
      <w:r w:rsidRPr="00BE0FEA">
        <w:rPr>
          <w:rFonts w:ascii="Helvetica" w:hAnsi="Helvetica" w:cs="Helvetica"/>
        </w:rPr>
        <w:t xml:space="preserve"> gyakorlat </w:t>
      </w:r>
      <w:r>
        <w:rPr>
          <w:rFonts w:ascii="Helvetica" w:hAnsi="Helvetica" w:cs="Helvetica"/>
        </w:rPr>
        <w:t xml:space="preserve">páratlan </w:t>
      </w:r>
      <w:r w:rsidRPr="00BE0FEA">
        <w:rPr>
          <w:rFonts w:ascii="Helvetica" w:hAnsi="Helvetica" w:cs="Helvetica"/>
        </w:rPr>
        <w:t>a hazai színházi szervezetek között</w:t>
      </w:r>
      <w:r>
        <w:rPr>
          <w:rFonts w:ascii="Helvetica" w:hAnsi="Helvetica" w:cs="Helvetica"/>
        </w:rPr>
        <w:t xml:space="preserve">. A vizsgálatok több, mint egy évtizede készülnek segítve </w:t>
      </w:r>
      <w:r w:rsidRPr="001979AE">
        <w:rPr>
          <w:rFonts w:ascii="Helvetica" w:hAnsi="Helvetica" w:cs="Helvetica"/>
        </w:rPr>
        <w:t>a műsorterv</w:t>
      </w:r>
      <w:r>
        <w:rPr>
          <w:rFonts w:ascii="Helvetica" w:hAnsi="Helvetica" w:cs="Helvetica"/>
        </w:rPr>
        <w:t xml:space="preserve">, valamint </w:t>
      </w:r>
      <w:r w:rsidRPr="001979AE">
        <w:rPr>
          <w:rFonts w:ascii="Helvetica" w:hAnsi="Helvetica" w:cs="Helvetica"/>
        </w:rPr>
        <w:t>a kommunikációs és értékesítési stratégia kialakítását is.</w:t>
      </w:r>
      <w:r>
        <w:rPr>
          <w:rFonts w:ascii="Helvetica" w:hAnsi="Helvetica" w:cs="Helvetica"/>
        </w:rPr>
        <w:t xml:space="preserve"> </w:t>
      </w:r>
      <w:r w:rsidRPr="00227336">
        <w:rPr>
          <w:rFonts w:ascii="Helvetica" w:hAnsi="Helvetica" w:cs="Helvetica"/>
        </w:rPr>
        <w:t>Mindemellett lényeges információkat</w:t>
      </w:r>
      <w:r>
        <w:rPr>
          <w:rFonts w:ascii="Helvetica" w:hAnsi="Helvetica" w:cs="Helvetica"/>
        </w:rPr>
        <w:t xml:space="preserve"> </w:t>
      </w:r>
      <w:r w:rsidRPr="00227336">
        <w:rPr>
          <w:rFonts w:ascii="Helvetica" w:hAnsi="Helvetica" w:cs="Helvetica"/>
        </w:rPr>
        <w:t>kapunk az addicionális költésekről is, így szemléltetve a Játékok valós megtérülését</w:t>
      </w:r>
      <w:r>
        <w:rPr>
          <w:rFonts w:ascii="Helvetica" w:hAnsi="Helvetica" w:cs="Helvetica"/>
        </w:rPr>
        <w:t xml:space="preserve">, </w:t>
      </w:r>
      <w:r w:rsidRPr="00227336">
        <w:rPr>
          <w:rFonts w:ascii="Helvetica" w:hAnsi="Helvetica" w:cs="Helvetica"/>
        </w:rPr>
        <w:t>eredményeit: a</w:t>
      </w:r>
      <w:r>
        <w:rPr>
          <w:rFonts w:ascii="Helvetica" w:hAnsi="Helvetica" w:cs="Helvetica"/>
        </w:rPr>
        <w:t xml:space="preserve"> f</w:t>
      </w:r>
      <w:r w:rsidRPr="00227336">
        <w:rPr>
          <w:rFonts w:ascii="Helvetica" w:hAnsi="Helvetica" w:cs="Helvetica"/>
        </w:rPr>
        <w:t>enntartó 290 millió</w:t>
      </w:r>
      <w:r>
        <w:rPr>
          <w:rFonts w:ascii="Helvetica" w:hAnsi="Helvetica" w:cs="Helvetica"/>
        </w:rPr>
        <w:t xml:space="preserve"> forintos</w:t>
      </w:r>
      <w:r w:rsidRPr="00227336">
        <w:rPr>
          <w:rFonts w:ascii="Helvetica" w:hAnsi="Helvetica" w:cs="Helvetica"/>
        </w:rPr>
        <w:t xml:space="preserve"> befektetésével szemben összesen 1 milliárd 415</w:t>
      </w:r>
      <w:r>
        <w:rPr>
          <w:rFonts w:ascii="Helvetica" w:hAnsi="Helvetica" w:cs="Helvetica"/>
        </w:rPr>
        <w:t xml:space="preserve"> millió forintos </w:t>
      </w:r>
      <w:r w:rsidRPr="00227336">
        <w:rPr>
          <w:rFonts w:ascii="Helvetica" w:hAnsi="Helvetica" w:cs="Helvetica"/>
        </w:rPr>
        <w:t>költést jelent Szegeden amellett, hogy a</w:t>
      </w:r>
      <w:r>
        <w:rPr>
          <w:rFonts w:ascii="Helvetica" w:hAnsi="Helvetica" w:cs="Helvetica"/>
        </w:rPr>
        <w:t xml:space="preserve"> </w:t>
      </w:r>
      <w:r w:rsidRPr="00227336">
        <w:rPr>
          <w:rFonts w:ascii="Helvetica" w:hAnsi="Helvetica" w:cs="Helvetica"/>
        </w:rPr>
        <w:t>Játékok európai színvonalú kulturális missziót teljesít</w:t>
      </w:r>
      <w:r>
        <w:rPr>
          <w:rFonts w:ascii="Helvetica" w:hAnsi="Helvetica" w:cs="Helvetica"/>
        </w:rPr>
        <w:t xml:space="preserve">. </w:t>
      </w:r>
      <w:r w:rsidRPr="003231A1">
        <w:rPr>
          <w:rFonts w:ascii="Helvetica" w:hAnsi="Helvetica" w:cs="Helvetica"/>
          <w:i/>
          <w:iCs/>
        </w:rPr>
        <w:t xml:space="preserve">(A Játékok jegy- és pályázati bevételeiből 920 millió </w:t>
      </w:r>
      <w:r>
        <w:rPr>
          <w:rFonts w:ascii="Helvetica" w:hAnsi="Helvetica" w:cs="Helvetica"/>
          <w:i/>
          <w:iCs/>
        </w:rPr>
        <w:t>forint</w:t>
      </w:r>
      <w:r w:rsidRPr="003231A1">
        <w:rPr>
          <w:rFonts w:ascii="Helvetica" w:hAnsi="Helvetica" w:cs="Helvetica"/>
          <w:i/>
          <w:iCs/>
        </w:rPr>
        <w:t xml:space="preserve">ot realizált és továbbá 495 </w:t>
      </w:r>
      <w:r>
        <w:rPr>
          <w:rFonts w:ascii="Helvetica" w:hAnsi="Helvetica" w:cs="Helvetica"/>
          <w:i/>
          <w:iCs/>
        </w:rPr>
        <w:t>millió forint</w:t>
      </w:r>
      <w:r w:rsidRPr="003231A1">
        <w:rPr>
          <w:rFonts w:ascii="Helvetica" w:hAnsi="Helvetica" w:cs="Helvetica"/>
          <w:i/>
          <w:iCs/>
        </w:rPr>
        <w:t xml:space="preserve"> addicionális költést generált) </w:t>
      </w:r>
    </w:p>
    <w:p w14:paraId="7AA7FEE9" w14:textId="77777777" w:rsidR="00671334" w:rsidRPr="00A445F6" w:rsidRDefault="00671334" w:rsidP="00671334">
      <w:pPr>
        <w:spacing w:line="360" w:lineRule="auto"/>
        <w:jc w:val="both"/>
        <w:rPr>
          <w:rFonts w:ascii="Helvetica" w:hAnsi="Helvetica" w:cs="Helvetica"/>
          <w:b/>
          <w:bCs/>
        </w:rPr>
      </w:pPr>
      <w:r w:rsidRPr="00BE0FEA">
        <w:rPr>
          <w:rFonts w:ascii="Helvetica" w:hAnsi="Helvetica" w:cs="Helvetica"/>
        </w:rPr>
        <w:t>A közönségkutatás mellett az idei évben a szerveze</w:t>
      </w:r>
      <w:r>
        <w:rPr>
          <w:rFonts w:ascii="Helvetica" w:hAnsi="Helvetica" w:cs="Helvetica"/>
        </w:rPr>
        <w:t>t</w:t>
      </w:r>
      <w:r w:rsidRPr="00BE0FEA">
        <w:rPr>
          <w:rFonts w:ascii="Helvetica" w:hAnsi="Helvetica" w:cs="Helvetica"/>
        </w:rPr>
        <w:t xml:space="preserve"> </w:t>
      </w:r>
      <w:r w:rsidRPr="004101AF">
        <w:rPr>
          <w:rFonts w:ascii="Helvetica" w:hAnsi="Helvetica" w:cs="Helvetica"/>
          <w:i/>
          <w:iCs/>
        </w:rPr>
        <w:t xml:space="preserve">átfogó gazdaságossági célvizsgálatot és iparági </w:t>
      </w:r>
      <w:r>
        <w:rPr>
          <w:rFonts w:ascii="Helvetica" w:hAnsi="Helvetica" w:cs="Helvetica"/>
          <w:i/>
          <w:iCs/>
        </w:rPr>
        <w:t xml:space="preserve">kitekintést </w:t>
      </w:r>
      <w:r w:rsidRPr="004101AF">
        <w:rPr>
          <w:rFonts w:ascii="Helvetica" w:hAnsi="Helvetica" w:cs="Helvetica"/>
          <w:i/>
          <w:iCs/>
        </w:rPr>
        <w:t xml:space="preserve">is készíttetett. </w:t>
      </w:r>
      <w:r>
        <w:rPr>
          <w:rFonts w:ascii="Helvetica" w:hAnsi="Helvetica" w:cs="Helvetica"/>
        </w:rPr>
        <w:t>Ebből kiderül, hogy</w:t>
      </w:r>
      <w:r w:rsidRPr="00BE0FEA">
        <w:rPr>
          <w:rFonts w:ascii="Helvetica" w:hAnsi="Helvetica" w:cs="Helvetica"/>
        </w:rPr>
        <w:t xml:space="preserve"> </w:t>
      </w:r>
      <w:r w:rsidRPr="00E66C5F">
        <w:rPr>
          <w:rFonts w:ascii="Helvetica" w:hAnsi="Helvetica" w:cs="Helvetica"/>
        </w:rPr>
        <w:t xml:space="preserve">a </w:t>
      </w:r>
      <w:r w:rsidRPr="00E66C5F">
        <w:rPr>
          <w:rFonts w:ascii="Helvetica" w:hAnsi="Helvetica" w:cs="Helvetica"/>
          <w:b/>
          <w:bCs/>
        </w:rPr>
        <w:t xml:space="preserve">Szegedi Szabadtéri Játékok egyes gazdasági mutatói alapján az ország legeredményesebb szabadtéri színháza, sőt esetenként a kőszínházakkal </w:t>
      </w:r>
      <w:r>
        <w:rPr>
          <w:rFonts w:ascii="Helvetica" w:hAnsi="Helvetica" w:cs="Helvetica"/>
          <w:b/>
          <w:bCs/>
        </w:rPr>
        <w:t>való</w:t>
      </w:r>
      <w:r w:rsidRPr="00E66C5F">
        <w:rPr>
          <w:rFonts w:ascii="Helvetica" w:hAnsi="Helvetica" w:cs="Helvetica"/>
          <w:b/>
          <w:bCs/>
        </w:rPr>
        <w:t xml:space="preserve"> összehasonlításban is az első helyen</w:t>
      </w:r>
      <w:r>
        <w:rPr>
          <w:rFonts w:ascii="Helvetica" w:hAnsi="Helvetica" w:cs="Helvetica"/>
          <w:b/>
          <w:bCs/>
        </w:rPr>
        <w:t xml:space="preserve"> áll. </w:t>
      </w:r>
      <w:r w:rsidRPr="006C59F1">
        <w:rPr>
          <w:rFonts w:ascii="Helvetica" w:hAnsi="Helvetica" w:cs="Helvetica"/>
        </w:rPr>
        <w:t>A jegyértékesítés árbevétele például a jelenlegi menedzsment vezetése alatt megduplázódott, 2013-tól 2019-re évi 248 millió forintról 491 millió forintra nőtt</w:t>
      </w:r>
      <w:r w:rsidRPr="008B6D3B">
        <w:rPr>
          <w:rFonts w:ascii="Helvetica" w:hAnsi="Helvetica" w:cs="Helvetica"/>
        </w:rPr>
        <w:t xml:space="preserve">. </w:t>
      </w:r>
      <w:r w:rsidRPr="006D45A3">
        <w:rPr>
          <w:rFonts w:ascii="Helvetica" w:hAnsi="Helvetica" w:cs="Helvetica"/>
        </w:rPr>
        <w:t>(A mintegy 12,1 %-os átlagos éves növekedési ütem (CAGR) jelentősen meghaladja a vizsgáltban szereplő más színházak növekedését.)</w:t>
      </w:r>
    </w:p>
    <w:p w14:paraId="19EB1BCB" w14:textId="77777777" w:rsidR="00671334" w:rsidRDefault="00671334" w:rsidP="00671334">
      <w:pPr>
        <w:spacing w:line="360" w:lineRule="auto"/>
        <w:jc w:val="both"/>
        <w:rPr>
          <w:rFonts w:ascii="Helvetica" w:hAnsi="Helvetica" w:cs="Helvetica"/>
        </w:rPr>
      </w:pPr>
      <w:r w:rsidRPr="00C73BCE">
        <w:rPr>
          <w:rFonts w:ascii="Helvetica" w:hAnsi="Helvetica" w:cs="Helvetica"/>
        </w:rPr>
        <w:t>A szervezet hatékonysága is rendkívüli mértékben fejlődött, melynek eredményeként a</w:t>
      </w:r>
      <w:r>
        <w:rPr>
          <w:rFonts w:ascii="Helvetica" w:hAnsi="Helvetica" w:cs="Helvetica"/>
        </w:rPr>
        <w:t xml:space="preserve"> </w:t>
      </w:r>
      <w:r w:rsidRPr="00C453ED">
        <w:rPr>
          <w:rFonts w:ascii="Helvetica" w:hAnsi="Helvetica" w:cs="Helvetica"/>
          <w:b/>
          <w:bCs/>
        </w:rPr>
        <w:t>jelenlegi vezetés időszakában a Szegedi Szabadtéri Játékok az ország legjelentősebb színházi prémiumtermékévé vált</w:t>
      </w:r>
      <w:r w:rsidRPr="00C73BCE">
        <w:rPr>
          <w:rFonts w:ascii="Helvetica" w:hAnsi="Helvetica" w:cs="Helvetica"/>
        </w:rPr>
        <w:t>. Az iparági összehasonlítá</w:t>
      </w:r>
      <w:r>
        <w:rPr>
          <w:rFonts w:ascii="Helvetica" w:hAnsi="Helvetica" w:cs="Helvetica"/>
        </w:rPr>
        <w:t>s szerint</w:t>
      </w:r>
      <w:r w:rsidRPr="00C73BCE">
        <w:rPr>
          <w:rFonts w:ascii="Helvetica" w:hAnsi="Helvetica" w:cs="Helvetica"/>
        </w:rPr>
        <w:t xml:space="preserve"> az </w:t>
      </w:r>
      <w:r w:rsidRPr="006D45A3">
        <w:rPr>
          <w:rFonts w:ascii="Helvetica" w:hAnsi="Helvetica" w:cs="Helvetica"/>
          <w:i/>
          <w:iCs/>
        </w:rPr>
        <w:t>egy fizető nézőre jutó jegybevétel a Szegedi Szabadtéri esetében a legmagasabb</w:t>
      </w:r>
      <w:r w:rsidRPr="00C73BCE">
        <w:rPr>
          <w:rFonts w:ascii="Helvetica" w:hAnsi="Helvetica" w:cs="Helvetica"/>
        </w:rPr>
        <w:t>. Mindez jól mutatja,</w:t>
      </w:r>
      <w:r>
        <w:rPr>
          <w:rFonts w:ascii="Helvetica" w:hAnsi="Helvetica" w:cs="Helvetica"/>
        </w:rPr>
        <w:t xml:space="preserve"> </w:t>
      </w:r>
      <w:r w:rsidRPr="00C73BCE">
        <w:rPr>
          <w:rFonts w:ascii="Helvetica" w:hAnsi="Helvetica" w:cs="Helvetica"/>
        </w:rPr>
        <w:t>hogy a közönség a jegyár megfizetésével kiemelt bizalmat szavaz szeretett fesztiváljának.</w:t>
      </w:r>
    </w:p>
    <w:p w14:paraId="26F1A0C6" w14:textId="0AA9B130" w:rsidR="00671334" w:rsidRDefault="00671334" w:rsidP="00671334">
      <w:p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Pr="002E78B3">
        <w:rPr>
          <w:rFonts w:ascii="Helvetica" w:hAnsi="Helvetica" w:cs="Helvetica"/>
        </w:rPr>
        <w:t>z elemzések a pandémiás időszakot megelőző utolsó teljes értékű évig, 2019-ig készültek.</w:t>
      </w:r>
      <w:r>
        <w:rPr>
          <w:rFonts w:ascii="Helvetica" w:hAnsi="Helvetica" w:cs="Helvetica"/>
        </w:rPr>
        <w:t xml:space="preserve"> </w:t>
      </w:r>
      <w:r w:rsidRPr="00016FFE">
        <w:rPr>
          <w:rFonts w:ascii="Helvetica" w:hAnsi="Helvetica" w:cs="Helvetica"/>
        </w:rPr>
        <w:t>Az átfogó gazdaságossági célvizsgálat</w:t>
      </w:r>
      <w:r w:rsidR="00A10661">
        <w:rPr>
          <w:rFonts w:ascii="Helvetica" w:hAnsi="Helvetica" w:cs="Helvetica"/>
        </w:rPr>
        <w:t>ot</w:t>
      </w:r>
      <w:r w:rsidRPr="00016FFE">
        <w:rPr>
          <w:rFonts w:ascii="Helvetica" w:hAnsi="Helvetica" w:cs="Helvetica"/>
        </w:rPr>
        <w:t xml:space="preserve"> és iparági elemzé</w:t>
      </w:r>
      <w:r>
        <w:rPr>
          <w:rFonts w:ascii="Helvetica" w:hAnsi="Helvetica" w:cs="Helvetica"/>
        </w:rPr>
        <w:t>s</w:t>
      </w:r>
      <w:r w:rsidR="00A10661">
        <w:rPr>
          <w:rFonts w:ascii="Helvetica" w:hAnsi="Helvetica" w:cs="Helvetica"/>
        </w:rPr>
        <w:t>t</w:t>
      </w:r>
      <w:r w:rsidRPr="00016FFE">
        <w:rPr>
          <w:rFonts w:ascii="Helvetica" w:hAnsi="Helvetica" w:cs="Helvetica"/>
        </w:rPr>
        <w:t>, valamint a közönségvizsgálat</w:t>
      </w:r>
      <w:r>
        <w:rPr>
          <w:rFonts w:ascii="Helvetica" w:hAnsi="Helvetica" w:cs="Helvetica"/>
        </w:rPr>
        <w:t xml:space="preserve"> </w:t>
      </w:r>
      <w:r w:rsidRPr="002E78B3">
        <w:rPr>
          <w:rFonts w:ascii="Helvetica" w:hAnsi="Helvetica" w:cs="Helvetica"/>
        </w:rPr>
        <w:t>eredményei</w:t>
      </w:r>
      <w:r>
        <w:rPr>
          <w:rFonts w:ascii="Helvetica" w:hAnsi="Helvetica" w:cs="Helvetica"/>
        </w:rPr>
        <w:t>t jelen sajtóanyag nem teljeskörűen tartalmazza.</w:t>
      </w:r>
    </w:p>
    <w:p w14:paraId="04D4739E" w14:textId="77777777" w:rsidR="00671334" w:rsidRDefault="0067133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78430AD2" w14:textId="1BAADC5C" w:rsidR="00C94FC9" w:rsidRPr="00E6063A" w:rsidRDefault="00C94FC9" w:rsidP="00C94FC9">
      <w:pPr>
        <w:spacing w:line="276" w:lineRule="auto"/>
        <w:jc w:val="both"/>
        <w:rPr>
          <w:rFonts w:ascii="Helvetica" w:hAnsi="Helvetica" w:cs="Helvetica"/>
        </w:rPr>
      </w:pPr>
      <w:r w:rsidRPr="00E6063A">
        <w:rPr>
          <w:rFonts w:ascii="Helvetica" w:hAnsi="Helvetica" w:cs="Helvetica"/>
        </w:rPr>
        <w:lastRenderedPageBreak/>
        <w:t>Bevezető</w:t>
      </w:r>
    </w:p>
    <w:p w14:paraId="3F03226F" w14:textId="77777777" w:rsidR="00C94FC9" w:rsidRDefault="00C94FC9" w:rsidP="00C94FC9">
      <w:pPr>
        <w:spacing w:line="276" w:lineRule="auto"/>
        <w:jc w:val="both"/>
        <w:rPr>
          <w:rFonts w:ascii="Helvetica" w:hAnsi="Helvetica" w:cs="Helvetica"/>
        </w:rPr>
      </w:pPr>
      <w:r w:rsidRPr="00E6063A">
        <w:rPr>
          <w:rFonts w:ascii="Helvetica" w:hAnsi="Helvetica" w:cs="Helvetica"/>
        </w:rPr>
        <w:t>A Szegedi Szabadtéri Játékok sajátosságai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Szeged az 1930-as években Klebelsbergi Kunó Szeged országgyűlési képviselője, kultuszminiszer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politikájának köszönhetően emelkedett az európai városok közé. Ekkor épült meg a város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legfontosabb épületegyüttese, alakult ki a Dóm tér a hazánkban egyetlenként itt található nemzeti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emlékcsarnokkal. A székesegyházban épült Európa második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legnagyobb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orgonája és létrejött az európai léptékű Szegedi Szabadtéri Játékok.</w:t>
      </w:r>
    </w:p>
    <w:p w14:paraId="2465A0F7" w14:textId="77777777" w:rsidR="00085C1A" w:rsidRDefault="00C94FC9" w:rsidP="00C94FC9">
      <w:pPr>
        <w:spacing w:line="276" w:lineRule="auto"/>
        <w:jc w:val="both"/>
        <w:rPr>
          <w:rFonts w:ascii="Helvetica" w:hAnsi="Helvetica" w:cs="Helvetica"/>
        </w:rPr>
      </w:pPr>
      <w:r w:rsidRPr="00E6063A">
        <w:rPr>
          <w:rFonts w:ascii="Helvetica" w:hAnsi="Helvetica" w:cs="Helvetica"/>
        </w:rPr>
        <w:t>Szegeden, a nemzetközi rangú vidéki metropoliszban mindig azok alkottak maradandót, akik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történelmi dimenzióban gondolkodtak, szembementek a provincializmussal, ha kellett vállalták a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konfliktusokat és a város szellemi frissességét biztosították. A régebbi korokban is akadtak a napi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nehézség nyomasztó horizontján túl tekintő felvilágosult polgár előképeink, ilyen volt a Szegedi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Szabadtéri üzemeltetésében lévő Reök-palota építtetője, Reök Iván kultúrmérnök is, aki hol ez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európai trendekhez igazodó családi palotájával, hol az algyői olajmezőkkel kapcsolatos vízióival vívta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ki kortársai döbbenetét az 1900-as évek elején.</w:t>
      </w:r>
      <w:r>
        <w:rPr>
          <w:rFonts w:ascii="Helvetica" w:hAnsi="Helvetica" w:cs="Helvetica"/>
        </w:rPr>
        <w:t xml:space="preserve"> </w:t>
      </w:r>
    </w:p>
    <w:p w14:paraId="39C32CB4" w14:textId="0F96B9E1" w:rsidR="00085C1A" w:rsidRDefault="00C94FC9" w:rsidP="00C94FC9">
      <w:pPr>
        <w:spacing w:line="276" w:lineRule="auto"/>
        <w:jc w:val="both"/>
        <w:rPr>
          <w:rFonts w:ascii="Helvetica" w:hAnsi="Helvetica" w:cs="Helvetica"/>
        </w:rPr>
      </w:pPr>
      <w:r w:rsidRPr="00E6063A">
        <w:rPr>
          <w:rFonts w:ascii="Helvetica" w:hAnsi="Helvetica" w:cs="Helvetica"/>
        </w:rPr>
        <w:t>Szervezetünk ars-poeticájának megértéséhez figyelembe kell venni a Társaság működéséne</w:t>
      </w:r>
      <w:r>
        <w:rPr>
          <w:rFonts w:ascii="Helvetica" w:hAnsi="Helvetica" w:cs="Helvetica"/>
        </w:rPr>
        <w:t xml:space="preserve">k </w:t>
      </w:r>
      <w:r w:rsidRPr="00E6063A">
        <w:rPr>
          <w:rFonts w:ascii="Helvetica" w:hAnsi="Helvetica" w:cs="Helvetica"/>
        </w:rPr>
        <w:t>meghatározó helyszíneit, a Dóm teret és a Reök-palotát, melyek tökéletes épített örökségek, a világ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élvonalába tartoznak. Szükségszerű hát, hogy a művészeti tevékenységünk által felvállalt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küldetésünk - mint minden valamire való alkotás – a jelen meghaladására törekszik. Mindezen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értékek képviselete, olykor meg nem értéssel, akár konfliktussal is jár, hiszen attitűdünk</w:t>
      </w:r>
      <w:r>
        <w:rPr>
          <w:rFonts w:ascii="Helvetica" w:hAnsi="Helvetica" w:cs="Helvetica"/>
        </w:rPr>
        <w:t xml:space="preserve">, </w:t>
      </w:r>
      <w:r w:rsidRPr="00E6063A">
        <w:rPr>
          <w:rFonts w:ascii="Helvetica" w:hAnsi="Helvetica" w:cs="Helvetica"/>
        </w:rPr>
        <w:t>gondolkodásunk eltér a város szolgáltatási feladatait ellátó gazdasági társaságokétól. Esetünkben a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napi célok és a Fenntartó elvárásai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mellett, történelmi küldetésünknek is meg kell felelni.</w:t>
      </w:r>
      <w:r>
        <w:rPr>
          <w:rFonts w:ascii="Helvetica" w:hAnsi="Helvetica" w:cs="Helvetica"/>
        </w:rPr>
        <w:t xml:space="preserve"> </w:t>
      </w:r>
    </w:p>
    <w:p w14:paraId="764CD7CF" w14:textId="186D7235" w:rsidR="00C94FC9" w:rsidRPr="00E6063A" w:rsidRDefault="00C94FC9" w:rsidP="00C94FC9">
      <w:pPr>
        <w:spacing w:line="276" w:lineRule="auto"/>
        <w:jc w:val="both"/>
        <w:rPr>
          <w:rFonts w:ascii="Helvetica" w:hAnsi="Helvetica" w:cs="Helvetica"/>
        </w:rPr>
      </w:pPr>
      <w:r w:rsidRPr="00E6063A">
        <w:rPr>
          <w:rFonts w:ascii="Helvetica" w:hAnsi="Helvetica" w:cs="Helvetica"/>
        </w:rPr>
        <w:t>Klebelsberg 1929-ben így fogalmaz: „…ha idegenforgalmat akarunk fejleszteni, […] európai látókör,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az idegenforgalom titkainak ismerete, és megértés kell a dolgokhoz szélesebb körökben is.” A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Szegedi Szabadtéri Játékokkal alapítói által meghatározottak máig ható érvényességgel a kulturális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missziót az a városi idegenforgalom és a gazdaság élénkítésének hármas célkitűzését fogalmazták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meg.</w:t>
      </w:r>
    </w:p>
    <w:p w14:paraId="7D001815" w14:textId="77777777" w:rsidR="00C94FC9" w:rsidRPr="00E6063A" w:rsidRDefault="00C94FC9" w:rsidP="00C94FC9">
      <w:pPr>
        <w:spacing w:line="276" w:lineRule="auto"/>
        <w:jc w:val="both"/>
        <w:rPr>
          <w:rFonts w:ascii="Helvetica" w:hAnsi="Helvetica" w:cs="Helvetica"/>
        </w:rPr>
      </w:pPr>
      <w:r w:rsidRPr="00E6063A">
        <w:rPr>
          <w:rFonts w:ascii="Helvetica" w:hAnsi="Helvetica" w:cs="Helvetica"/>
        </w:rPr>
        <w:t>A Játékok sokszínű, minőségi művészeti kínálata, a távol- és közelmúltban fellépő nemzetközi- és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világsztárok bizonyítják a Szegedi Szabadtéri Játékok különleges kulturális értékét, amelyre a világ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bármely pontján is fontos erőforrásként tekintenének. Vállalásaink lényege rendkívül gazdag műfaji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kínálattal – operett, opera, dráma, musical, szimfonikus koncert, táncjáték - működő nyári Játékok</w:t>
      </w:r>
      <w:r>
        <w:rPr>
          <w:rFonts w:ascii="Helvetica" w:hAnsi="Helvetica" w:cs="Helvetica"/>
        </w:rPr>
        <w:t xml:space="preserve">, </w:t>
      </w:r>
      <w:r w:rsidRPr="00E6063A">
        <w:rPr>
          <w:rFonts w:ascii="Helvetica" w:hAnsi="Helvetica" w:cs="Helvetica"/>
        </w:rPr>
        <w:t>valamint az elsősorban vizuális művésze</w:t>
      </w:r>
      <w:r>
        <w:rPr>
          <w:rFonts w:ascii="Helvetica" w:hAnsi="Helvetica" w:cs="Helvetica"/>
        </w:rPr>
        <w:t>tek</w:t>
      </w:r>
      <w:r w:rsidRPr="00E6063A">
        <w:rPr>
          <w:rFonts w:ascii="Helvetica" w:hAnsi="Helvetica" w:cs="Helvetica"/>
        </w:rPr>
        <w:t>nek otthont adó összművészeti központ, a REÖK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működtetése.</w:t>
      </w:r>
    </w:p>
    <w:p w14:paraId="5BB115F6" w14:textId="77777777" w:rsidR="00085C1A" w:rsidRDefault="00C94FC9" w:rsidP="00C94FC9">
      <w:pPr>
        <w:spacing w:line="276" w:lineRule="auto"/>
        <w:jc w:val="both"/>
        <w:rPr>
          <w:rFonts w:ascii="Helvetica" w:hAnsi="Helvetica" w:cs="Helvetica"/>
        </w:rPr>
      </w:pPr>
      <w:r w:rsidRPr="00E6063A">
        <w:rPr>
          <w:rFonts w:ascii="Helvetica" w:hAnsi="Helvetica" w:cs="Helvetica"/>
        </w:rPr>
        <w:t>Egy szervezet pénzügyi szempontokra butított eredményének értékelése csupán számviteli kérdés,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ugyanakkor a kulturális befektetések sajátossága, hogy az eredmény jellemzően a befektetéstől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eltérő helyen jelentkezik. Az eredmények az alkotások létrejöttében, befogadóinak kulturális tőkéjén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keresztül végül a közösségben realizálódnak.</w:t>
      </w:r>
      <w:r>
        <w:rPr>
          <w:rFonts w:ascii="Helvetica" w:hAnsi="Helvetica" w:cs="Helvetica"/>
        </w:rPr>
        <w:t xml:space="preserve"> </w:t>
      </w:r>
    </w:p>
    <w:p w14:paraId="6DE0D0D3" w14:textId="69DCEE5B" w:rsidR="00C3508F" w:rsidRPr="00A92708" w:rsidRDefault="00C94FC9" w:rsidP="00C94FC9">
      <w:pPr>
        <w:spacing w:line="276" w:lineRule="auto"/>
        <w:jc w:val="both"/>
        <w:rPr>
          <w:rFonts w:ascii="Helvetica" w:hAnsi="Helvetica" w:cs="Helvetica"/>
        </w:rPr>
      </w:pPr>
      <w:r w:rsidRPr="00E6063A">
        <w:rPr>
          <w:rFonts w:ascii="Helvetica" w:hAnsi="Helvetica" w:cs="Helvetica"/>
        </w:rPr>
        <w:t xml:space="preserve">A bemutatásra kerülő átfogó gazdaságossági célvizsgálat és iparági kitekintés, valamint </w:t>
      </w:r>
      <w:r>
        <w:rPr>
          <w:rFonts w:ascii="Helvetica" w:hAnsi="Helvetica" w:cs="Helvetica"/>
        </w:rPr>
        <w:t xml:space="preserve">a </w:t>
      </w:r>
      <w:r w:rsidRPr="00E6063A">
        <w:rPr>
          <w:rFonts w:ascii="Helvetica" w:hAnsi="Helvetica" w:cs="Helvetica"/>
        </w:rPr>
        <w:t>közönségvizsgálat szemelvényei alapján Társaságunk eredményeinek értékeléséhez az alábbiakban</w:t>
      </w:r>
      <w:r>
        <w:rPr>
          <w:rFonts w:ascii="Helvetica" w:hAnsi="Helvetica" w:cs="Helvetica"/>
        </w:rPr>
        <w:t xml:space="preserve"> </w:t>
      </w:r>
      <w:r w:rsidRPr="00E6063A">
        <w:rPr>
          <w:rFonts w:ascii="Helvetica" w:hAnsi="Helvetica" w:cs="Helvetica"/>
        </w:rPr>
        <w:t>bemutatásra kerülő vizsgálatok elemző megállapításai nyújtanak támpontot.</w:t>
      </w:r>
      <w:r w:rsidR="008231C7">
        <w:rPr>
          <w:rFonts w:ascii="Helvetica" w:hAnsi="Helvetica" w:cs="Helvetica"/>
        </w:rPr>
        <w:br w:type="page"/>
      </w:r>
    </w:p>
    <w:p w14:paraId="1601C417" w14:textId="508A2579" w:rsidR="005876F7" w:rsidRDefault="00C3508F" w:rsidP="005876F7">
      <w:pPr>
        <w:spacing w:line="240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sz w:val="24"/>
          <w:szCs w:val="24"/>
          <w:u w:val="single"/>
        </w:rPr>
        <w:lastRenderedPageBreak/>
        <w:t>Szemelvények</w:t>
      </w:r>
      <w:r w:rsidR="00FD49B8" w:rsidRPr="00A51A4A">
        <w:rPr>
          <w:rFonts w:ascii="Helvetica" w:hAnsi="Helvetica" w:cs="Helvetica"/>
          <w:b/>
          <w:bCs/>
          <w:sz w:val="24"/>
          <w:szCs w:val="24"/>
          <w:u w:val="single"/>
        </w:rPr>
        <w:t xml:space="preserve"> a</w:t>
      </w:r>
      <w:r w:rsidR="004132C6" w:rsidRPr="00A51A4A">
        <w:rPr>
          <w:rFonts w:ascii="Helvetica" w:hAnsi="Helvetica" w:cs="Helvetica"/>
          <w:b/>
          <w:bCs/>
          <w:sz w:val="24"/>
          <w:szCs w:val="24"/>
          <w:u w:val="single"/>
        </w:rPr>
        <w:t xml:space="preserve">z átfogó gazdaságossági célvizsgálat és iparági </w:t>
      </w:r>
      <w:r w:rsidR="00A92708">
        <w:rPr>
          <w:rFonts w:ascii="Helvetica" w:hAnsi="Helvetica" w:cs="Helvetica"/>
          <w:b/>
          <w:bCs/>
          <w:sz w:val="24"/>
          <w:szCs w:val="24"/>
          <w:u w:val="single"/>
        </w:rPr>
        <w:t>kitekintés</w:t>
      </w:r>
      <w:r w:rsidR="004132C6" w:rsidRPr="00A51A4A">
        <w:rPr>
          <w:rFonts w:ascii="Helvetica" w:hAnsi="Helvetica" w:cs="Helvetica"/>
          <w:b/>
          <w:bCs/>
          <w:sz w:val="24"/>
          <w:szCs w:val="24"/>
          <w:u w:val="single"/>
        </w:rPr>
        <w:t>ből:</w:t>
      </w:r>
    </w:p>
    <w:p w14:paraId="3EFE49B4" w14:textId="64B81766" w:rsidR="005876F7" w:rsidRDefault="005876F7" w:rsidP="005876F7">
      <w:pPr>
        <w:spacing w:line="240" w:lineRule="auto"/>
        <w:jc w:val="both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>(</w:t>
      </w:r>
      <w:r w:rsidRPr="005876F7">
        <w:rPr>
          <w:rFonts w:ascii="Helvetica" w:hAnsi="Helvetica" w:cs="Helvetica"/>
          <w:i/>
          <w:iCs/>
        </w:rPr>
        <w:t>Társaság = Szegedi Szabadtéri Játékok</w:t>
      </w:r>
      <w:r>
        <w:rPr>
          <w:rFonts w:ascii="Helvetica" w:hAnsi="Helvetica" w:cs="Helvetica"/>
          <w:i/>
          <w:iCs/>
        </w:rPr>
        <w:t>)</w:t>
      </w:r>
    </w:p>
    <w:p w14:paraId="0566A1DD" w14:textId="77777777" w:rsidR="008231C7" w:rsidRPr="005876F7" w:rsidRDefault="008231C7" w:rsidP="005876F7">
      <w:pPr>
        <w:spacing w:line="240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33918024" w14:textId="669B7B91" w:rsidR="004132C6" w:rsidRPr="00BE0FEA" w:rsidRDefault="004132C6" w:rsidP="00A51A4A">
      <w:pPr>
        <w:numPr>
          <w:ilvl w:val="0"/>
          <w:numId w:val="1"/>
        </w:numPr>
        <w:spacing w:line="276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 xml:space="preserve">A Társaság </w:t>
      </w:r>
      <w:r w:rsidR="005876F7" w:rsidRPr="005876F7">
        <w:rPr>
          <w:sz w:val="24"/>
          <w:szCs w:val="24"/>
        </w:rPr>
        <w:t>(Szegedi Szabadtéri Játékok)</w:t>
      </w:r>
      <w:r w:rsidR="005876F7" w:rsidRPr="005876F7">
        <w:rPr>
          <w:b/>
          <w:bCs/>
          <w:sz w:val="24"/>
          <w:szCs w:val="24"/>
        </w:rPr>
        <w:t xml:space="preserve"> </w:t>
      </w:r>
      <w:r w:rsidRPr="00BE0FEA">
        <w:rPr>
          <w:rFonts w:ascii="Helvetica" w:hAnsi="Helvetica" w:cs="Helvetica"/>
        </w:rPr>
        <w:t>éves összes támogatása a 2013 és 2019 közötti időszakban évi 568 MFt és 687 MFt között változott. A 2019. évi teljes támogatás összege gyakorlatilag megegyezik a 2013. évben kapott teljes támogatás összegével.</w:t>
      </w:r>
    </w:p>
    <w:p w14:paraId="7037E001" w14:textId="5ECC81C6" w:rsidR="00514C72" w:rsidRPr="00BE0FEA" w:rsidRDefault="00514C72" w:rsidP="00A51A4A">
      <w:pPr>
        <w:numPr>
          <w:ilvl w:val="0"/>
          <w:numId w:val="1"/>
        </w:numPr>
        <w:spacing w:line="276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>A Társaság jegybevételei (amelyek mintegy 99%-ban a szabadtéri színpadokhoz kapcsolódnak) a 2013. évi 248 MFt-ról 2019-re 491 MFt-ra nőttek.</w:t>
      </w:r>
    </w:p>
    <w:p w14:paraId="30C16973" w14:textId="4251249B" w:rsidR="00CA0D71" w:rsidRDefault="00514C72" w:rsidP="00A51A4A">
      <w:pPr>
        <w:numPr>
          <w:ilvl w:val="0"/>
          <w:numId w:val="1"/>
        </w:numPr>
        <w:spacing w:line="276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>A szabadtéri színpadok összes nézőszáma a 2013. évi 54 ezer főről 2019-re 79 ezer főre emelkedett. A nézőszámon belül a fizető nézők aránya a 2013-2016 közötti 83-84%-ról a 2017- 2019-es időszakban 90-91%-ra emelkedett.</w:t>
      </w:r>
    </w:p>
    <w:p w14:paraId="7F32F6AE" w14:textId="1CAD7147" w:rsidR="00A51A4A" w:rsidRPr="00CA0D71" w:rsidRDefault="00A51A4A" w:rsidP="00A51A4A">
      <w:pPr>
        <w:spacing w:line="276" w:lineRule="auto"/>
        <w:ind w:left="720"/>
        <w:jc w:val="both"/>
        <w:rPr>
          <w:rFonts w:ascii="Helvetica" w:hAnsi="Helvetica" w:cs="Helvetica"/>
        </w:rPr>
      </w:pPr>
    </w:p>
    <w:p w14:paraId="540ECA03" w14:textId="498AE3F2" w:rsidR="004132C6" w:rsidRDefault="00514C72" w:rsidP="00A51A4A">
      <w:pPr>
        <w:spacing w:line="276" w:lineRule="auto"/>
        <w:jc w:val="both"/>
      </w:pPr>
      <w:r>
        <w:rPr>
          <w:noProof/>
        </w:rPr>
        <w:drawing>
          <wp:inline distT="0" distB="0" distL="0" distR="0" wp14:anchorId="23B5E77E" wp14:editId="17428E6E">
            <wp:extent cx="2955290" cy="1929213"/>
            <wp:effectExtent l="19050" t="19050" r="16510" b="139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061" cy="1942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935F8">
        <w:t xml:space="preserve">  </w:t>
      </w:r>
      <w:r w:rsidR="00CA0D71">
        <w:rPr>
          <w:noProof/>
        </w:rPr>
        <w:drawing>
          <wp:inline distT="0" distB="0" distL="0" distR="0" wp14:anchorId="5F295099" wp14:editId="73736342">
            <wp:extent cx="3117555" cy="1951957"/>
            <wp:effectExtent l="19050" t="19050" r="26035" b="1079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620" cy="19638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D49210" w14:textId="36DB14F2" w:rsidR="004132C6" w:rsidRDefault="004132C6" w:rsidP="00A51A4A">
      <w:pPr>
        <w:spacing w:line="276" w:lineRule="auto"/>
        <w:jc w:val="both"/>
      </w:pPr>
    </w:p>
    <w:p w14:paraId="0DBF511F" w14:textId="77777777" w:rsidR="00A51A4A" w:rsidRDefault="00A51A4A" w:rsidP="00A51A4A">
      <w:pPr>
        <w:spacing w:line="276" w:lineRule="auto"/>
        <w:jc w:val="both"/>
      </w:pPr>
    </w:p>
    <w:p w14:paraId="49B3B85F" w14:textId="37FC3FF7" w:rsidR="00514C72" w:rsidRDefault="00CA0D71" w:rsidP="00A51A4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4F2DC6A" wp14:editId="0D037173">
            <wp:extent cx="3574840" cy="2149992"/>
            <wp:effectExtent l="19050" t="19050" r="26035" b="222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455" cy="21659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3DD2C2" w14:textId="36CB1B44" w:rsidR="004132C6" w:rsidRDefault="004132C6" w:rsidP="00A51A4A">
      <w:pPr>
        <w:spacing w:line="276" w:lineRule="auto"/>
        <w:jc w:val="both"/>
      </w:pPr>
    </w:p>
    <w:p w14:paraId="28E1E1C9" w14:textId="7C9FACF0" w:rsidR="004132C6" w:rsidRDefault="004132C6" w:rsidP="00A51A4A">
      <w:pPr>
        <w:spacing w:line="276" w:lineRule="auto"/>
        <w:jc w:val="both"/>
      </w:pPr>
    </w:p>
    <w:p w14:paraId="14BA79FD" w14:textId="07046B56" w:rsidR="004132C6" w:rsidRDefault="004132C6" w:rsidP="00A51A4A">
      <w:pPr>
        <w:spacing w:line="276" w:lineRule="auto"/>
        <w:jc w:val="both"/>
      </w:pPr>
    </w:p>
    <w:p w14:paraId="4F968680" w14:textId="77777777" w:rsidR="008154CA" w:rsidRDefault="008154CA" w:rsidP="00A51A4A">
      <w:pPr>
        <w:spacing w:line="276" w:lineRule="auto"/>
        <w:jc w:val="both"/>
      </w:pPr>
    </w:p>
    <w:p w14:paraId="383C0585" w14:textId="77777777" w:rsidR="005876F7" w:rsidRDefault="005876F7" w:rsidP="00A51A4A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14:paraId="0AF54BEF" w14:textId="65A596BD" w:rsidR="004132C6" w:rsidRPr="008231C7" w:rsidRDefault="00A51A4A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lastRenderedPageBreak/>
        <w:t xml:space="preserve">A </w:t>
      </w:r>
      <w:r w:rsidR="005876F7" w:rsidRPr="008231C7">
        <w:rPr>
          <w:rFonts w:ascii="Helvetica" w:hAnsi="Helvetica" w:cs="Helvetica"/>
          <w:b/>
          <w:bCs/>
          <w:sz w:val="24"/>
          <w:szCs w:val="24"/>
          <w:u w:val="single"/>
        </w:rPr>
        <w:t>T</w:t>
      </w: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 xml:space="preserve">ársaság </w:t>
      </w:r>
      <w:r w:rsidR="005876F7" w:rsidRPr="008231C7">
        <w:rPr>
          <w:rFonts w:ascii="Helvetica" w:hAnsi="Helvetica" w:cs="Helvetica"/>
          <w:b/>
          <w:bCs/>
          <w:sz w:val="24"/>
          <w:szCs w:val="24"/>
          <w:u w:val="single"/>
        </w:rPr>
        <w:t xml:space="preserve">(Szegedi Szabadtéri Játékok) </w:t>
      </w: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>bevételeinek alakulása:</w:t>
      </w:r>
    </w:p>
    <w:p w14:paraId="0EB4EF1A" w14:textId="3CC6745C" w:rsidR="00514C72" w:rsidRPr="00BE0FEA" w:rsidRDefault="00514C72" w:rsidP="008231C7">
      <w:pPr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>Az Önkormányzattól kapott működési támogatás összege a vizsgált időszakban évi 290 MFt és 345 MFt között változott</w:t>
      </w:r>
      <w:r w:rsidR="00006E7E" w:rsidRPr="00BE0FEA">
        <w:rPr>
          <w:rFonts w:ascii="Helvetica" w:hAnsi="Helvetica" w:cs="Helvetica"/>
        </w:rPr>
        <w:t xml:space="preserve">, ahol a bázis 290 MFt működésre kapott finanszírozástól való eltérés </w:t>
      </w:r>
      <w:r w:rsidR="0056599B">
        <w:rPr>
          <w:rFonts w:ascii="Helvetica" w:hAnsi="Helvetica" w:cs="Helvetica"/>
        </w:rPr>
        <w:t xml:space="preserve">bizonyos években </w:t>
      </w:r>
      <w:r w:rsidR="00006E7E" w:rsidRPr="00BE0FEA">
        <w:rPr>
          <w:rFonts w:ascii="Helvetica" w:hAnsi="Helvetica" w:cs="Helvetica"/>
        </w:rPr>
        <w:t>célberuházáshoz kapcsolódott</w:t>
      </w:r>
      <w:r w:rsidRPr="00BE0FEA">
        <w:rPr>
          <w:rFonts w:ascii="Helvetica" w:hAnsi="Helvetica" w:cs="Helvetica"/>
        </w:rPr>
        <w:t>.</w:t>
      </w:r>
    </w:p>
    <w:p w14:paraId="5BC24671" w14:textId="75E0666E" w:rsidR="00514C72" w:rsidRPr="00BE0FEA" w:rsidRDefault="00514C72" w:rsidP="008231C7">
      <w:pPr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>Az egyéb támogatások összege a 2013. évi 252 MFt-ról 2018-ra 397 MFt-ra nőtt, majd 2019-ben 295 MFt-ra csökkent. Ezen támogatások meghatározó tétele 2018-ig a társasági adó felajánlásokhoz kapcsolódó támogatás volt, értéke folyamatosan növekedett a jegyárbevétel növekedésével párhuzamosan.</w:t>
      </w:r>
    </w:p>
    <w:p w14:paraId="4DC97BE6" w14:textId="0D55BF0B" w:rsidR="00A51A4A" w:rsidRPr="00A51A4A" w:rsidRDefault="00514C72" w:rsidP="008231C7">
      <w:pPr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>A támogatási rendszer átalakulása következtében ezen támogatások szerepét 2019-től elsősorban az EMMI előadóművészeti többlettámogatása.</w:t>
      </w:r>
    </w:p>
    <w:p w14:paraId="5DE9D5B9" w14:textId="3B1C7536" w:rsidR="00CA0D71" w:rsidRPr="00BE0FEA" w:rsidRDefault="00A32ED2" w:rsidP="00A51A4A">
      <w:pPr>
        <w:spacing w:line="276" w:lineRule="auto"/>
        <w:ind w:left="720"/>
        <w:jc w:val="both"/>
        <w:rPr>
          <w:rFonts w:ascii="Helvetica" w:hAnsi="Helvetica" w:cs="Helvetica"/>
        </w:rPr>
      </w:pPr>
      <w:r w:rsidRPr="00F31C5B">
        <w:rPr>
          <w:noProof/>
        </w:rPr>
        <w:drawing>
          <wp:anchor distT="0" distB="0" distL="114300" distR="114300" simplePos="0" relativeHeight="251660288" behindDoc="0" locked="0" layoutInCell="1" allowOverlap="1" wp14:anchorId="1B32F563" wp14:editId="6FDC51EB">
            <wp:simplePos x="0" y="0"/>
            <wp:positionH relativeFrom="column">
              <wp:posOffset>114743</wp:posOffset>
            </wp:positionH>
            <wp:positionV relativeFrom="paragraph">
              <wp:posOffset>311327</wp:posOffset>
            </wp:positionV>
            <wp:extent cx="6006243" cy="2084892"/>
            <wp:effectExtent l="19050" t="19050" r="13970" b="10795"/>
            <wp:wrapSquare wrapText="bothSides"/>
            <wp:docPr id="7" name="Kép 6" descr="A képen asztal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FC01D269-965A-4069-93A9-39377DDE9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 descr="A képen asztal látható&#10;&#10;Automatikusan generált leírás">
                      <a:extLst>
                        <a:ext uri="{FF2B5EF4-FFF2-40B4-BE49-F238E27FC236}">
                          <a16:creationId xmlns:a16="http://schemas.microsoft.com/office/drawing/2014/main" id="{FC01D269-965A-4069-93A9-39377DDE9E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43" cy="20848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D8B59" w14:textId="77777777" w:rsidR="00A51A4A" w:rsidRDefault="00A51A4A" w:rsidP="00A51A4A">
      <w:pPr>
        <w:spacing w:line="276" w:lineRule="auto"/>
        <w:jc w:val="both"/>
      </w:pPr>
    </w:p>
    <w:p w14:paraId="2F770E5D" w14:textId="1816211A" w:rsidR="00CA0D71" w:rsidRPr="008231C7" w:rsidRDefault="00A51A4A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>Iparági összehasonlítás</w:t>
      </w:r>
      <w:r w:rsidR="008231C7" w:rsidRPr="008231C7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3BF5E31E" w14:textId="21B5AF51" w:rsidR="00514C72" w:rsidRPr="00A51A4A" w:rsidRDefault="00514C72" w:rsidP="008231C7">
      <w:pPr>
        <w:numPr>
          <w:ilvl w:val="0"/>
          <w:numId w:val="5"/>
        </w:numPr>
        <w:spacing w:line="360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 xml:space="preserve">A Társaság tevékenységével / méretével leginkább összehasonlítható iparági szereplőnek a Margitszigeti és Városmajori Szabadtéri Színpadokat üzemeltető, Budapest Főváros Önkormányzata tulajdonában lévő Szabad Tér Színház Nonprofit Kft. tekinthető. </w:t>
      </w:r>
      <w:r w:rsidRPr="00A51A4A">
        <w:rPr>
          <w:rFonts w:ascii="Helvetica" w:hAnsi="Helvetica" w:cs="Helvetica"/>
        </w:rPr>
        <w:t>A szabadtéri színpadok tevékenysége és gazdálkodása csak korlátozottan hasonlítható a hagyományos kőszínházak tevékenységéhez és gazdálkodásához</w:t>
      </w:r>
      <w:r w:rsidR="007934C1" w:rsidRPr="00A51A4A">
        <w:rPr>
          <w:rFonts w:ascii="Helvetica" w:hAnsi="Helvetica" w:cs="Helvetica"/>
        </w:rPr>
        <w:t xml:space="preserve"> </w:t>
      </w:r>
      <w:r w:rsidRPr="00A51A4A">
        <w:rPr>
          <w:rFonts w:ascii="Helvetica" w:hAnsi="Helvetica" w:cs="Helvetica"/>
        </w:rPr>
        <w:t>kiemelten az alábbi körülmények miatt:</w:t>
      </w:r>
    </w:p>
    <w:p w14:paraId="6316C997" w14:textId="4A365708" w:rsidR="00514C72" w:rsidRPr="00BE0FEA" w:rsidRDefault="00514C72" w:rsidP="008231C7">
      <w:pPr>
        <w:numPr>
          <w:ilvl w:val="0"/>
          <w:numId w:val="6"/>
        </w:numPr>
        <w:spacing w:line="360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 xml:space="preserve"> A szabadtéri színpadok alapvetően idényjellegű (jellemzően a nyári hónapokra korlátozódó) tevékenységet valósítanak meg, ugyanakkor a kőszínházakra (a nyári hónapok kivételével) az egész éves működés jellemző.</w:t>
      </w:r>
    </w:p>
    <w:p w14:paraId="7C40A1EF" w14:textId="3740C0EF" w:rsidR="00514C72" w:rsidRPr="00BE0FEA" w:rsidRDefault="00514C72" w:rsidP="008231C7">
      <w:pPr>
        <w:numPr>
          <w:ilvl w:val="0"/>
          <w:numId w:val="6"/>
        </w:numPr>
        <w:spacing w:line="360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>A szabadtéri színpadok – szemben a kőszínházakkal – nem rendelkeznek saját társulattal, a társaságok állományában jellemzően csak minimális létszámú, az adminisztrációhoz és szervezéshez szükséges létszám található.</w:t>
      </w:r>
    </w:p>
    <w:p w14:paraId="5691463C" w14:textId="53660842" w:rsidR="00514C72" w:rsidRPr="00BE0FEA" w:rsidRDefault="00514C72" w:rsidP="008231C7">
      <w:pPr>
        <w:numPr>
          <w:ilvl w:val="0"/>
          <w:numId w:val="6"/>
        </w:numPr>
        <w:spacing w:line="360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>A szabadtéri színpadok minden évben jelentős műszaki szolgáltatást vesznek igénybe a színpadépítés és bontás kapcsán</w:t>
      </w:r>
      <w:r w:rsidR="007C72BA" w:rsidRPr="00BE0FEA">
        <w:rPr>
          <w:rFonts w:ascii="Helvetica" w:hAnsi="Helvetica" w:cs="Helvetica"/>
        </w:rPr>
        <w:t>, azonban ebben a tekintetben a Szegedi Szabadtéri Játékok minden évben „zöldmezős beruházásban” állítja össze a teljes színházi-műszaki üzemet</w:t>
      </w:r>
      <w:r w:rsidRPr="00BE0FEA">
        <w:rPr>
          <w:rFonts w:ascii="Helvetica" w:hAnsi="Helvetica" w:cs="Helvetica"/>
        </w:rPr>
        <w:t xml:space="preserve">. A </w:t>
      </w:r>
      <w:r w:rsidRPr="00BE0FEA">
        <w:rPr>
          <w:rFonts w:ascii="Helvetica" w:hAnsi="Helvetica" w:cs="Helvetica"/>
        </w:rPr>
        <w:lastRenderedPageBreak/>
        <w:t xml:space="preserve">fentiekre való tekintettel a kiválasztott két népszerű </w:t>
      </w:r>
      <w:r w:rsidR="00F64195">
        <w:rPr>
          <w:rFonts w:ascii="Helvetica" w:hAnsi="Helvetica" w:cs="Helvetica"/>
        </w:rPr>
        <w:t xml:space="preserve">vezető </w:t>
      </w:r>
      <w:r w:rsidRPr="00BE0FEA">
        <w:rPr>
          <w:rFonts w:ascii="Helvetica" w:hAnsi="Helvetica" w:cs="Helvetica"/>
        </w:rPr>
        <w:t>kőszínház adatait elemzéseink céljából tájékoztató jelleggel mutatjuk be.</w:t>
      </w:r>
    </w:p>
    <w:p w14:paraId="1E4041BE" w14:textId="7F745498" w:rsidR="00514C72" w:rsidRDefault="00514C72" w:rsidP="00A51A4A">
      <w:pPr>
        <w:spacing w:line="276" w:lineRule="auto"/>
        <w:jc w:val="both"/>
      </w:pPr>
    </w:p>
    <w:p w14:paraId="2CDE4521" w14:textId="77777777" w:rsidR="00A40899" w:rsidRPr="00F31C5B" w:rsidRDefault="00A40899" w:rsidP="00A51A4A">
      <w:pPr>
        <w:spacing w:line="276" w:lineRule="auto"/>
        <w:jc w:val="both"/>
      </w:pPr>
    </w:p>
    <w:p w14:paraId="04A2985B" w14:textId="5B0F2460" w:rsidR="00CA0D71" w:rsidRPr="008231C7" w:rsidRDefault="00CA0D71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>Jegybevételek</w:t>
      </w:r>
      <w:r w:rsidR="00A40899" w:rsidRPr="008231C7">
        <w:rPr>
          <w:rFonts w:ascii="Helvetica" w:hAnsi="Helvetica" w:cs="Helvetica"/>
          <w:b/>
          <w:bCs/>
          <w:sz w:val="24"/>
          <w:szCs w:val="24"/>
          <w:u w:val="single"/>
        </w:rPr>
        <w:t>, kihasználtság</w:t>
      </w: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4C1AC095" w14:textId="52136EFF" w:rsidR="00EF4052" w:rsidRPr="00A8781B" w:rsidRDefault="00514C72" w:rsidP="008231C7">
      <w:pPr>
        <w:numPr>
          <w:ilvl w:val="0"/>
          <w:numId w:val="9"/>
        </w:numPr>
        <w:spacing w:line="360" w:lineRule="auto"/>
        <w:jc w:val="both"/>
        <w:rPr>
          <w:rFonts w:ascii="Helvetica" w:hAnsi="Helvetica" w:cs="Helvetica"/>
        </w:rPr>
      </w:pPr>
      <w:r w:rsidRPr="00BE0FEA">
        <w:rPr>
          <w:rFonts w:ascii="Helvetica" w:hAnsi="Helvetica" w:cs="Helvetica"/>
        </w:rPr>
        <w:t>A Társaság</w:t>
      </w:r>
      <w:r w:rsidR="001A5392">
        <w:rPr>
          <w:rFonts w:ascii="Helvetica" w:hAnsi="Helvetica" w:cs="Helvetica"/>
        </w:rPr>
        <w:t xml:space="preserve"> árbevételének meghatározó részét képező jegyértékesítés árbevétele a 2013. évi 248 MFt-ról 2019-re 491 MFt-ra nőtt, amely mintegy </w:t>
      </w:r>
      <w:r w:rsidR="001A5392" w:rsidRPr="00EA32C8">
        <w:rPr>
          <w:rFonts w:ascii="Helvetica" w:hAnsi="Helvetica" w:cs="Helvetica"/>
          <w:b/>
          <w:bCs/>
        </w:rPr>
        <w:t>12,1 %-os átlagos éves növekedési ütemnek</w:t>
      </w:r>
      <w:r w:rsidR="001A5392">
        <w:rPr>
          <w:rFonts w:ascii="Helvetica" w:hAnsi="Helvetica" w:cs="Helvetica"/>
        </w:rPr>
        <w:t xml:space="preserve"> felel meg. </w:t>
      </w:r>
      <w:r w:rsidR="001A5392" w:rsidRPr="00EA32C8">
        <w:rPr>
          <w:rFonts w:ascii="Helvetica" w:hAnsi="Helvetica" w:cs="Helvetica"/>
          <w:b/>
          <w:bCs/>
        </w:rPr>
        <w:t>Ez a növekedési ütem meghaladta a kiválasztott összehasonlító színházak jegybevételének növekedési ütemét.</w:t>
      </w:r>
      <w:r w:rsidR="001A5392" w:rsidRPr="00A8781B">
        <w:rPr>
          <w:rFonts w:ascii="Helvetica" w:hAnsi="Helvetica" w:cs="Helvetica"/>
        </w:rPr>
        <w:t xml:space="preserve"> </w:t>
      </w:r>
      <w:r w:rsidR="00EF4052" w:rsidRPr="00A8781B">
        <w:rPr>
          <w:rFonts w:ascii="Helvetica" w:hAnsi="Helvetica" w:cs="Helvetica"/>
        </w:rPr>
        <w:t>(Szabad Tér Színház: 3,3%; Vígszínház: 9,6%; Madách Színház: 8,7%).</w:t>
      </w:r>
    </w:p>
    <w:p w14:paraId="52B7544F" w14:textId="6D4F5ECF" w:rsidR="001A5392" w:rsidRPr="008851C0" w:rsidRDefault="001A5392" w:rsidP="008231C7">
      <w:pPr>
        <w:numPr>
          <w:ilvl w:val="0"/>
          <w:numId w:val="9"/>
        </w:num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jegybevételek növekedésének egyik motorja a nézőszám és a színházak átlagos kihasználtságának növekedése volt. </w:t>
      </w:r>
      <w:r w:rsidRPr="000054AF">
        <w:rPr>
          <w:rFonts w:ascii="Helvetica" w:hAnsi="Helvetica" w:cs="Helvetica"/>
          <w:b/>
          <w:bCs/>
        </w:rPr>
        <w:t>A Társaság szabadtéri sz</w:t>
      </w:r>
      <w:r w:rsidR="00A40899" w:rsidRPr="000054AF">
        <w:rPr>
          <w:rFonts w:ascii="Helvetica" w:hAnsi="Helvetica" w:cs="Helvetica"/>
          <w:b/>
          <w:bCs/>
        </w:rPr>
        <w:t>ínpadainak</w:t>
      </w:r>
      <w:r w:rsidRPr="000054AF">
        <w:rPr>
          <w:rFonts w:ascii="Helvetica" w:hAnsi="Helvetica" w:cs="Helvetica"/>
          <w:b/>
          <w:bCs/>
        </w:rPr>
        <w:t xml:space="preserve"> nézőszáma a 2013. évi 53 000 főről 2019-re 79 000 főre emelkedett, amely mintegy 7 %-os éves átlagos növekedési ütemnek felel meg.</w:t>
      </w:r>
      <w:r w:rsidRPr="00EF4052">
        <w:rPr>
          <w:rFonts w:ascii="Helvetica" w:hAnsi="Helvetica" w:cs="Helvetica"/>
        </w:rPr>
        <w:t xml:space="preserve"> </w:t>
      </w:r>
      <w:r w:rsidRPr="001D77F6">
        <w:rPr>
          <w:rFonts w:ascii="Helvetica" w:hAnsi="Helvetica" w:cs="Helvetica"/>
          <w:b/>
          <w:bCs/>
        </w:rPr>
        <w:t xml:space="preserve">Ez a növekedési ütem meghaladja mind a budapesti Szabad Tér Színház növekedési ütemét </w:t>
      </w:r>
      <w:r w:rsidRPr="008851C0">
        <w:rPr>
          <w:rFonts w:ascii="Helvetica" w:hAnsi="Helvetica" w:cs="Helvetica"/>
        </w:rPr>
        <w:t>(5,5 %), mind a bemutatott két kőszínház növekedési ütemét (2,3 % - 2,6 %)</w:t>
      </w:r>
      <w:r w:rsidR="000C2C32" w:rsidRPr="008851C0">
        <w:rPr>
          <w:rFonts w:ascii="Helvetica" w:hAnsi="Helvetica" w:cs="Helvetica"/>
        </w:rPr>
        <w:t>.</w:t>
      </w:r>
    </w:p>
    <w:p w14:paraId="3D4462E3" w14:textId="18F512E7" w:rsidR="00EF4052" w:rsidRDefault="001A5392" w:rsidP="008231C7">
      <w:pPr>
        <w:numPr>
          <w:ilvl w:val="0"/>
          <w:numId w:val="9"/>
        </w:num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 Társaság esetében a kihasználtság 88 % és 94 % között változott, amely jelentősen</w:t>
      </w:r>
      <w:r w:rsidR="00EF4052">
        <w:rPr>
          <w:rFonts w:ascii="Helvetica" w:hAnsi="Helvetica" w:cs="Helvetica"/>
        </w:rPr>
        <w:t xml:space="preserve"> meghaladta a </w:t>
      </w:r>
      <w:r w:rsidR="00A40899">
        <w:rPr>
          <w:rFonts w:ascii="Helvetica" w:hAnsi="Helvetica" w:cs="Helvetica"/>
        </w:rPr>
        <w:t xml:space="preserve">budapesti </w:t>
      </w:r>
      <w:r w:rsidR="00EF4052">
        <w:rPr>
          <w:rFonts w:ascii="Helvetica" w:hAnsi="Helvetica" w:cs="Helvetica"/>
        </w:rPr>
        <w:t>Szabad Tér Színház kihasználtságát a vizsgált időszakban.</w:t>
      </w:r>
    </w:p>
    <w:p w14:paraId="50BF3F4B" w14:textId="246AC491" w:rsidR="00A51A4A" w:rsidRPr="001D55B9" w:rsidRDefault="004935F8" w:rsidP="001D55B9">
      <w:pPr>
        <w:pStyle w:val="Listaszerbekezds"/>
        <w:numPr>
          <w:ilvl w:val="0"/>
          <w:numId w:val="9"/>
        </w:numPr>
        <w:jc w:val="both"/>
        <w:rPr>
          <w:rFonts w:ascii="Helvetica" w:hAnsi="Helvetica" w:cs="Helvetica"/>
        </w:rPr>
      </w:pPr>
      <w:r w:rsidRPr="001D55B9">
        <w:rPr>
          <w:rFonts w:ascii="Helvetica" w:hAnsi="Helvetica" w:cs="Helvetica"/>
        </w:rPr>
        <w:t>Az egy fizető nézőre jutóan realizált átlagos jegybevétel a Társaság esetében a 2013. évi 5,5 ezer Ft-ról 2018-ra 7,5 ezer Ft-ra nőtt.</w:t>
      </w:r>
      <w:r w:rsidR="001D55B9" w:rsidRPr="001D55B9">
        <w:rPr>
          <w:rFonts w:ascii="Helvetica" w:hAnsi="Helvetica" w:cs="Helvetica"/>
        </w:rPr>
        <w:t xml:space="preserve"> Ezzel Társaságunk </w:t>
      </w:r>
      <w:r w:rsidR="001D55B9" w:rsidRPr="001D55B9">
        <w:rPr>
          <w:rFonts w:ascii="Helvetica" w:hAnsi="Helvetica" w:cs="Helvetica"/>
          <w:b/>
          <w:bCs/>
        </w:rPr>
        <w:t>az ország legjelentősebb színházi prémiumtermékévé vált tekintve, hogy</w:t>
      </w:r>
      <w:r w:rsidR="001D55B9" w:rsidRPr="001D55B9">
        <w:rPr>
          <w:rFonts w:ascii="Helvetica" w:hAnsi="Helvetica" w:cs="Helvetica"/>
        </w:rPr>
        <w:t xml:space="preserve"> az </w:t>
      </w:r>
      <w:r w:rsidR="001D55B9" w:rsidRPr="001D55B9">
        <w:rPr>
          <w:rFonts w:ascii="Helvetica" w:hAnsi="Helvetica" w:cs="Helvetica"/>
          <w:i/>
          <w:iCs/>
        </w:rPr>
        <w:t>egy fizető nézőre jutó jegybevétel a Szegedi Szabadtéri esetében a legmagasabb.</w:t>
      </w:r>
    </w:p>
    <w:p w14:paraId="42E5F2C0" w14:textId="77777777" w:rsidR="00E918C5" w:rsidRPr="00A8781B" w:rsidRDefault="00E918C5" w:rsidP="00A40899">
      <w:pPr>
        <w:spacing w:line="276" w:lineRule="auto"/>
        <w:ind w:left="360"/>
        <w:jc w:val="both"/>
        <w:rPr>
          <w:rFonts w:ascii="Helvetica" w:hAnsi="Helvetica" w:cs="Helvetica"/>
        </w:rPr>
      </w:pPr>
    </w:p>
    <w:p w14:paraId="799ADA3A" w14:textId="70E0F843" w:rsidR="00514C72" w:rsidRDefault="00514C72" w:rsidP="00A51A4A">
      <w:pPr>
        <w:spacing w:line="276" w:lineRule="auto"/>
        <w:jc w:val="center"/>
      </w:pPr>
      <w:r w:rsidRPr="00F31C5B">
        <w:rPr>
          <w:noProof/>
        </w:rPr>
        <w:drawing>
          <wp:inline distT="0" distB="0" distL="0" distR="0" wp14:anchorId="614955D5" wp14:editId="2EE32B37">
            <wp:extent cx="2923803" cy="1827190"/>
            <wp:effectExtent l="19050" t="19050" r="10160" b="20955"/>
            <wp:docPr id="14" name="Kép 13">
              <a:extLst xmlns:a="http://schemas.openxmlformats.org/drawingml/2006/main">
                <a:ext uri="{FF2B5EF4-FFF2-40B4-BE49-F238E27FC236}">
                  <a16:creationId xmlns:a16="http://schemas.microsoft.com/office/drawing/2014/main" id="{E853E44C-997D-4B01-BFD2-88040F5875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3">
                      <a:extLst>
                        <a:ext uri="{FF2B5EF4-FFF2-40B4-BE49-F238E27FC236}">
                          <a16:creationId xmlns:a16="http://schemas.microsoft.com/office/drawing/2014/main" id="{E853E44C-997D-4B01-BFD2-88040F5875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310" cy="18312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A0D71">
        <w:t xml:space="preserve">    </w:t>
      </w:r>
      <w:r w:rsidR="004935F8">
        <w:rPr>
          <w:noProof/>
        </w:rPr>
        <w:drawing>
          <wp:inline distT="0" distB="0" distL="0" distR="0" wp14:anchorId="01A10613" wp14:editId="61BD612E">
            <wp:extent cx="2974471" cy="1835892"/>
            <wp:effectExtent l="19050" t="19050" r="16510" b="1206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59" cy="1851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F9DCFE" w14:textId="795EADE9" w:rsidR="005876F7" w:rsidRDefault="005876F7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4042CEA3" w14:textId="5DFE1AF4" w:rsidR="008231C7" w:rsidRDefault="008231C7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785CF760" w14:textId="1FBC5058" w:rsidR="008231C7" w:rsidRDefault="008231C7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16631311" w14:textId="77777777" w:rsidR="00DB6A34" w:rsidRDefault="00DB6A34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1CABB021" w14:textId="3385FA14" w:rsidR="00F64195" w:rsidRPr="008231C7" w:rsidRDefault="00F64195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lastRenderedPageBreak/>
        <w:t>Támogatások</w:t>
      </w:r>
      <w:r w:rsidR="00DB00B0" w:rsidRPr="008231C7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2707D335" w14:textId="4EC609AE" w:rsidR="00A8781B" w:rsidRDefault="00514C72" w:rsidP="008231C7">
      <w:pPr>
        <w:numPr>
          <w:ilvl w:val="0"/>
          <w:numId w:val="11"/>
        </w:numPr>
        <w:spacing w:line="360" w:lineRule="auto"/>
        <w:jc w:val="both"/>
        <w:rPr>
          <w:rFonts w:ascii="Helvetica" w:hAnsi="Helvetica" w:cs="Helvetica"/>
        </w:rPr>
      </w:pPr>
      <w:r w:rsidRPr="007F602C">
        <w:rPr>
          <w:rFonts w:ascii="Helvetica" w:hAnsi="Helvetica" w:cs="Helvetica"/>
        </w:rPr>
        <w:t>Amennyiben a teljes (alapítói + egyéb) kapott támogatás fajlagos értékének és a jegybevétel fajlagos értékének arányát nézzük, a Társaság esetében az arányszám a 2013. évi 2,5-ről 2014-ben 1,6-ra, majd ezt követően 2019-ig (kisebb fluktuációval) 1,2-re csökkent.</w:t>
      </w:r>
    </w:p>
    <w:p w14:paraId="7846697F" w14:textId="43EAC16B" w:rsidR="000C2C32" w:rsidRPr="000C2C32" w:rsidRDefault="00A8781B" w:rsidP="000C2C32">
      <w:pPr>
        <w:numPr>
          <w:ilvl w:val="0"/>
          <w:numId w:val="11"/>
        </w:numPr>
        <w:spacing w:line="360" w:lineRule="auto"/>
        <w:jc w:val="both"/>
        <w:rPr>
          <w:rFonts w:ascii="Helvetica" w:hAnsi="Helvetica" w:cs="Helvetica"/>
        </w:rPr>
      </w:pPr>
      <w:r w:rsidRPr="007F602C">
        <w:rPr>
          <w:rFonts w:ascii="Helvetica" w:hAnsi="Helvetica" w:cs="Helvetica"/>
        </w:rPr>
        <w:t>Ez azt jelenti, hogy az egy színháznéző számára nyújtott szolgáltatás 2013-ban a jegybevételhez képest még 2,5-ször magasabb támogatás révén valósult meg, 2019-ben viszont a támogatások fajlagos értéke már csak mintegy 20%-kal haladta meg a jegybevételek fajlagos értékét.</w:t>
      </w:r>
    </w:p>
    <w:p w14:paraId="1E6E48C1" w14:textId="77777777" w:rsidR="00A8781B" w:rsidRPr="00A8781B" w:rsidRDefault="00A8781B" w:rsidP="00A8781B">
      <w:pPr>
        <w:spacing w:line="276" w:lineRule="auto"/>
        <w:ind w:left="720"/>
        <w:jc w:val="both"/>
        <w:rPr>
          <w:rFonts w:ascii="Helvetica" w:hAnsi="Helvetica" w:cs="Helvetica"/>
        </w:rPr>
      </w:pPr>
    </w:p>
    <w:p w14:paraId="31D26CE0" w14:textId="7D9ED096" w:rsidR="00A8781B" w:rsidRDefault="00A8781B" w:rsidP="001A0DE7">
      <w:pPr>
        <w:spacing w:line="276" w:lineRule="auto"/>
        <w:jc w:val="center"/>
        <w:rPr>
          <w:rFonts w:ascii="Helvetica" w:hAnsi="Helvetica" w:cs="Helvetica"/>
        </w:rPr>
      </w:pPr>
      <w:r>
        <w:rPr>
          <w:noProof/>
        </w:rPr>
        <w:drawing>
          <wp:inline distT="0" distB="0" distL="0" distR="0" wp14:anchorId="6B4814D5" wp14:editId="47195D16">
            <wp:extent cx="3510959" cy="2263041"/>
            <wp:effectExtent l="19050" t="19050" r="13335" b="2349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669" cy="23518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B5114A" w14:textId="77777777" w:rsidR="001A0DE7" w:rsidRPr="007F602C" w:rsidRDefault="001A0DE7" w:rsidP="008154CA">
      <w:pPr>
        <w:spacing w:line="360" w:lineRule="auto"/>
        <w:jc w:val="center"/>
        <w:rPr>
          <w:rFonts w:ascii="Helvetica" w:hAnsi="Helvetica" w:cs="Helvetica"/>
        </w:rPr>
      </w:pPr>
    </w:p>
    <w:p w14:paraId="3904920D" w14:textId="200AEC3B" w:rsidR="004132C6" w:rsidRDefault="00A8781B" w:rsidP="008154CA">
      <w:pPr>
        <w:spacing w:line="360" w:lineRule="auto"/>
        <w:ind w:left="36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Az egy színháznézőre jutó támogatási</w:t>
      </w:r>
      <w:r w:rsidR="004935F8" w:rsidRPr="007F602C">
        <w:rPr>
          <w:rFonts w:ascii="Helvetica" w:hAnsi="Helvetica" w:cs="Helvetica"/>
        </w:rPr>
        <w:t xml:space="preserve"> arány a Társaság esetében egy fokozatosan csökkenő (kedvező) tendenciát mutatott a 2013 és 2019 közötti időszakban. Ezen túlmenően ez az arány 2015 és 2019 között rendre jelentősen alacsonyabb (kedvezőbb) volt, mint a Szabad Tér Színház adata (illetve egyes években alacsonyabb volt, mint akár a Vígszínház hasonló adata).</w:t>
      </w:r>
    </w:p>
    <w:p w14:paraId="6677AFDD" w14:textId="77777777" w:rsidR="00A40899" w:rsidRPr="004935F8" w:rsidRDefault="00A40899" w:rsidP="00E918C5">
      <w:pPr>
        <w:spacing w:line="276" w:lineRule="auto"/>
        <w:ind w:left="360"/>
        <w:jc w:val="both"/>
        <w:rPr>
          <w:rFonts w:ascii="Helvetica" w:hAnsi="Helvetica" w:cs="Helvetica"/>
        </w:rPr>
      </w:pPr>
    </w:p>
    <w:p w14:paraId="5EE82E72" w14:textId="172C64E6" w:rsidR="001A0DE7" w:rsidRDefault="004935F8" w:rsidP="000C2C32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823239E" wp14:editId="47007B5D">
            <wp:extent cx="3614308" cy="2383790"/>
            <wp:effectExtent l="19050" t="19050" r="24765" b="1651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912" cy="24725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AAF56F" w14:textId="77777777" w:rsidR="000C2C32" w:rsidRPr="000C2C32" w:rsidRDefault="000C2C32" w:rsidP="000C2C32">
      <w:pPr>
        <w:spacing w:line="276" w:lineRule="auto"/>
        <w:jc w:val="center"/>
      </w:pPr>
    </w:p>
    <w:p w14:paraId="28533783" w14:textId="3249AC39" w:rsidR="00514C72" w:rsidRDefault="00874E5C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lastRenderedPageBreak/>
        <w:t>Összes árbevétel és összes támogatás aránya, 2013-2019</w:t>
      </w:r>
      <w:r w:rsidR="008231C7" w:rsidRPr="008231C7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4F60C473" w14:textId="77777777" w:rsidR="008231C7" w:rsidRPr="008231C7" w:rsidRDefault="008231C7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778C8001" w14:textId="180C24AB" w:rsidR="001A0DE7" w:rsidRPr="008154CA" w:rsidRDefault="001A0DE7" w:rsidP="008231C7">
      <w:pPr>
        <w:spacing w:line="360" w:lineRule="auto"/>
        <w:jc w:val="both"/>
        <w:rPr>
          <w:rFonts w:ascii="Helvetica" w:hAnsi="Helvetica" w:cs="Helvetica"/>
        </w:rPr>
      </w:pPr>
      <w:r w:rsidRPr="008154CA">
        <w:rPr>
          <w:rFonts w:ascii="Helvetica" w:hAnsi="Helvetica" w:cs="Helvetica"/>
        </w:rPr>
        <w:t xml:space="preserve">A kiválasztott színházak összes árbevételének az összes kapott támogatáshoz viszonyított aránya a Társaság a 2013. évi 0,47-ről 2019-re 0,91-re nőtt. </w:t>
      </w:r>
      <w:r w:rsidRPr="001D55B9">
        <w:rPr>
          <w:rFonts w:ascii="Helvetica" w:hAnsi="Helvetica" w:cs="Helvetica"/>
          <w:b/>
          <w:bCs/>
        </w:rPr>
        <w:t>A Társaság ezen adata 2018-ban és 2019-ben meghaladta a budapesti Szabad Tér Színház és a Vígszínház hasonló adatát.</w:t>
      </w:r>
    </w:p>
    <w:p w14:paraId="4C8C5ECF" w14:textId="3FAF16EA" w:rsidR="008231C7" w:rsidRDefault="001A0DE7" w:rsidP="001A0DE7">
      <w:pPr>
        <w:spacing w:line="276" w:lineRule="auto"/>
        <w:jc w:val="center"/>
        <w:rPr>
          <w:highlight w:val="yellow"/>
        </w:rPr>
      </w:pPr>
      <w:r w:rsidRPr="008231C7">
        <w:rPr>
          <w:noProof/>
          <w:bdr w:val="single" w:sz="4" w:space="0" w:color="auto"/>
        </w:rPr>
        <w:drawing>
          <wp:inline distT="0" distB="0" distL="0" distR="0" wp14:anchorId="33B7AD48" wp14:editId="3E005DE0">
            <wp:extent cx="4207789" cy="2508992"/>
            <wp:effectExtent l="0" t="0" r="0" b="0"/>
            <wp:docPr id="1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922" cy="25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7619" w14:textId="77777777" w:rsidR="008231C7" w:rsidRDefault="008231C7">
      <w:pPr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br w:type="page"/>
      </w:r>
    </w:p>
    <w:p w14:paraId="0C3FBE02" w14:textId="2F03ABAB" w:rsidR="00B267CC" w:rsidRPr="008231C7" w:rsidRDefault="00A40899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lastRenderedPageBreak/>
        <w:t>K</w:t>
      </w:r>
      <w:r w:rsidR="00FD49B8" w:rsidRPr="008231C7">
        <w:rPr>
          <w:rFonts w:ascii="Helvetica" w:hAnsi="Helvetica" w:cs="Helvetica"/>
          <w:b/>
          <w:bCs/>
          <w:sz w:val="24"/>
          <w:szCs w:val="24"/>
          <w:u w:val="single"/>
        </w:rPr>
        <w:t>özönség</w:t>
      </w: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>vizsgálat kutatási</w:t>
      </w:r>
      <w:r w:rsidR="00FD49B8" w:rsidRPr="008231C7">
        <w:rPr>
          <w:rFonts w:ascii="Helvetica" w:hAnsi="Helvetica" w:cs="Helvetica"/>
          <w:b/>
          <w:bCs/>
          <w:sz w:val="24"/>
          <w:szCs w:val="24"/>
          <w:u w:val="single"/>
        </w:rPr>
        <w:t xml:space="preserve"> jelentés</w:t>
      </w:r>
      <w:r w:rsidR="000C2C32">
        <w:rPr>
          <w:rFonts w:ascii="Helvetica" w:hAnsi="Helvetica" w:cs="Helvetica"/>
          <w:b/>
          <w:bCs/>
          <w:sz w:val="24"/>
          <w:szCs w:val="24"/>
          <w:u w:val="single"/>
        </w:rPr>
        <w:t xml:space="preserve"> – kivonat</w:t>
      </w:r>
      <w:r w:rsidR="00FD49B8" w:rsidRPr="008231C7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109CAD05" w14:textId="77777777" w:rsidR="008231C7" w:rsidRPr="004935F8" w:rsidRDefault="008231C7" w:rsidP="00A51A4A">
      <w:pPr>
        <w:spacing w:line="276" w:lineRule="auto"/>
        <w:jc w:val="both"/>
        <w:rPr>
          <w:rFonts w:ascii="Helvetica" w:hAnsi="Helvetica" w:cs="Helvetica"/>
          <w:b/>
          <w:bCs/>
          <w:u w:val="single"/>
        </w:rPr>
      </w:pPr>
    </w:p>
    <w:p w14:paraId="4A23073D" w14:textId="3ADD936B" w:rsidR="00D50FBE" w:rsidRPr="008231C7" w:rsidRDefault="00B267CC" w:rsidP="008231C7">
      <w:pPr>
        <w:tabs>
          <w:tab w:val="left" w:pos="3443"/>
        </w:tabs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7F602C">
        <w:rPr>
          <w:rFonts w:ascii="Helvetica" w:hAnsi="Helvetica" w:cs="Helvetica"/>
        </w:rPr>
        <w:t>A szabadtéri előadásai nem pusztán kulturális események, hanem már a kezdetektől fogva idegenforgalmi attrakciók is, amelyek vállalt célja minél több turista Szegedre csalogatása, mert a helyi költések a város, és a város vállalkozásainak jövedelmét egyaránt növelik, ugyanakkor az előadások sikere a város hírnevét is öregbíti. „… idegenforgalmat akarunk fejleszteni, […] európai látókör, az idegenforgalom titkainak ismerete, és megértés kell a dolgokhoz szélesebb körökben is.” – írta Klebelsberg 1929-ben.</w:t>
      </w:r>
      <w:r w:rsidR="003F61F4" w:rsidRPr="007F602C">
        <w:rPr>
          <w:rFonts w:ascii="Helvetica" w:hAnsi="Helvetica" w:cs="Helvetica"/>
        </w:rPr>
        <w:t xml:space="preserve"> </w:t>
      </w:r>
      <w:r w:rsidRPr="007F602C">
        <w:rPr>
          <w:rFonts w:ascii="Helvetica" w:hAnsi="Helvetica" w:cs="Helvetica"/>
        </w:rPr>
        <w:t>Így az idegenforgalmi szempont már a kezdetben egyenrangú volt a kulturális misszióval a Szabadtéri Játékok első, a világháborúig tartó korszakában, de nem volt lényeges az újra</w:t>
      </w:r>
      <w:r w:rsidR="00403147">
        <w:rPr>
          <w:rFonts w:ascii="Helvetica" w:hAnsi="Helvetica" w:cs="Helvetica"/>
        </w:rPr>
        <w:t xml:space="preserve"> </w:t>
      </w:r>
      <w:r w:rsidRPr="007F602C">
        <w:rPr>
          <w:rFonts w:ascii="Helvetica" w:hAnsi="Helvetica" w:cs="Helvetica"/>
        </w:rPr>
        <w:t>indulástól (1959) a rendszerváltozásig terjedő második, úgynevezett szocialista korszakban. Ám azóta ismét döntő fontosságú cél.</w:t>
      </w:r>
    </w:p>
    <w:p w14:paraId="0271DF45" w14:textId="77777777" w:rsidR="00D50FBE" w:rsidRDefault="00D50FBE" w:rsidP="00DC0FE9">
      <w:pPr>
        <w:widowControl w:val="0"/>
        <w:tabs>
          <w:tab w:val="center" w:pos="391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CDF79" w14:textId="658EFC15" w:rsidR="007E7A7E" w:rsidRPr="008231C7" w:rsidRDefault="003C08F6" w:rsidP="0009784A">
      <w:pPr>
        <w:widowControl w:val="0"/>
        <w:tabs>
          <w:tab w:val="center" w:pos="3916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>Nézők összetétele:</w:t>
      </w:r>
    </w:p>
    <w:p w14:paraId="39699D4E" w14:textId="774BAF6A" w:rsidR="00D50FBE" w:rsidRPr="0009784A" w:rsidRDefault="008231C7" w:rsidP="0009784A">
      <w:pPr>
        <w:widowControl w:val="0"/>
        <w:tabs>
          <w:tab w:val="center" w:pos="3916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9CA85" wp14:editId="4990544D">
            <wp:simplePos x="0" y="0"/>
            <wp:positionH relativeFrom="column">
              <wp:posOffset>510540</wp:posOffset>
            </wp:positionH>
            <wp:positionV relativeFrom="paragraph">
              <wp:posOffset>142801</wp:posOffset>
            </wp:positionV>
            <wp:extent cx="5338445" cy="2359660"/>
            <wp:effectExtent l="0" t="0" r="14605" b="2540"/>
            <wp:wrapSquare wrapText="bothSides"/>
            <wp:docPr id="76" name="Diagram 76">
              <a:extLst xmlns:a="http://schemas.openxmlformats.org/drawingml/2006/main">
                <a:ext uri="{FF2B5EF4-FFF2-40B4-BE49-F238E27FC236}">
                  <a16:creationId xmlns:a16="http://schemas.microsoft.com/office/drawing/2014/main" id="{A5109335-C7D6-4081-9C88-B972B59CF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BF648" w14:textId="262868DD" w:rsidR="00E85CFC" w:rsidRDefault="00E85C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C46E96" w14:textId="1ACBCF56" w:rsidR="0009784A" w:rsidRDefault="0009784A" w:rsidP="00A51A4A">
      <w:pPr>
        <w:spacing w:line="276" w:lineRule="auto"/>
        <w:rPr>
          <w:rStyle w:val="Kiemels"/>
          <w:rFonts w:ascii="Helvetica" w:hAnsi="Helvetica" w:cs="Helvetica"/>
          <w:b/>
          <w:bCs/>
          <w:i w:val="0"/>
          <w:iCs w:val="0"/>
        </w:rPr>
      </w:pPr>
      <w:bookmarkStart w:id="0" w:name="_Toc19636999"/>
      <w:r w:rsidRPr="000978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4A855ACE" wp14:editId="6B3A9B21">
            <wp:simplePos x="0" y="0"/>
            <wp:positionH relativeFrom="column">
              <wp:posOffset>605790</wp:posOffset>
            </wp:positionH>
            <wp:positionV relativeFrom="paragraph">
              <wp:posOffset>2278380</wp:posOffset>
            </wp:positionV>
            <wp:extent cx="5168265" cy="3204845"/>
            <wp:effectExtent l="0" t="0" r="0" b="0"/>
            <wp:wrapTopAndBottom/>
            <wp:docPr id="11" name="Kép 11" descr="page15image6298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5image629842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84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="000368F7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INCLUDEPICTURE "C:\\var\\folders\\xq\\ffk4pny90cb04lznksrlk_n80000gn\\T\\com.microsoft.Word\\WebArchiveCopyPasteTempFiles\\page15image62984256" \* MERGEFORMAT </w:instrText>
      </w:r>
      <w:r w:rsidRPr="0009784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="000D4A68">
        <w:rPr>
          <w:rStyle w:val="Kiemels"/>
          <w:rFonts w:ascii="Helvetica" w:hAnsi="Helvetica" w:cs="Helvetica"/>
          <w:b/>
          <w:bCs/>
          <w:i w:val="0"/>
          <w:iCs w:val="0"/>
        </w:rPr>
        <w:br w:type="page"/>
      </w:r>
    </w:p>
    <w:p w14:paraId="7718B5B0" w14:textId="77777777" w:rsidR="004819C8" w:rsidRDefault="004819C8" w:rsidP="0026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186F60" w14:textId="5A653114" w:rsidR="00264449" w:rsidRPr="008154CA" w:rsidRDefault="00264449" w:rsidP="008231C7">
      <w:pPr>
        <w:spacing w:after="0" w:line="360" w:lineRule="auto"/>
        <w:rPr>
          <w:rFonts w:ascii="Helvetica" w:eastAsia="Times New Roman" w:hAnsi="Helvetica" w:cs="Helvetica"/>
          <w:lang w:eastAsia="hu-HU"/>
        </w:rPr>
      </w:pPr>
      <w:r w:rsidRPr="008154CA">
        <w:rPr>
          <w:rFonts w:ascii="Helvetica" w:eastAsia="Times New Roman" w:hAnsi="Helvetica" w:cs="Helvetica"/>
          <w:lang w:eastAsia="hu-HU"/>
        </w:rPr>
        <w:t>Látható, minden megyéből jöttek nézők, a fővárosiak aránya az előző évekhez képest alig változott. 2015-től lassan növekszik, és 2019-ben tovább nőtt a más vidéki városokból/megyeszékhelyekről érkezettek aránya. A Játékok közönsége döntő többségében városlakó, jellemzően autóval érkeztek.</w:t>
      </w:r>
    </w:p>
    <w:p w14:paraId="5A217F39" w14:textId="2EAF5B59" w:rsidR="0009784A" w:rsidRDefault="0009784A" w:rsidP="00A51A4A">
      <w:pPr>
        <w:spacing w:line="276" w:lineRule="auto"/>
        <w:rPr>
          <w:rStyle w:val="Kiemels"/>
          <w:rFonts w:ascii="Helvetica" w:hAnsi="Helvetica" w:cs="Helvetica"/>
          <w:b/>
          <w:bCs/>
          <w:i w:val="0"/>
          <w:iCs w:val="0"/>
        </w:rPr>
      </w:pPr>
    </w:p>
    <w:p w14:paraId="5F952E9B" w14:textId="77777777" w:rsidR="0009784A" w:rsidRDefault="0009784A" w:rsidP="00A51A4A">
      <w:pPr>
        <w:spacing w:line="276" w:lineRule="auto"/>
        <w:rPr>
          <w:rStyle w:val="Kiemels"/>
          <w:rFonts w:ascii="Helvetica" w:hAnsi="Helvetica" w:cs="Helvetica"/>
          <w:b/>
          <w:bCs/>
          <w:i w:val="0"/>
          <w:iCs w:val="0"/>
        </w:rPr>
      </w:pPr>
    </w:p>
    <w:p w14:paraId="44E19802" w14:textId="1BBA023D" w:rsidR="000D4A68" w:rsidRPr="008231C7" w:rsidRDefault="001264C9" w:rsidP="00264449">
      <w:pPr>
        <w:spacing w:line="276" w:lineRule="auto"/>
        <w:rPr>
          <w:rFonts w:ascii="Helvetica" w:eastAsiaTheme="majorEastAsia" w:hAnsi="Helvetica" w:cs="Helvetica"/>
          <w:b/>
          <w:bCs/>
          <w:sz w:val="24"/>
          <w:szCs w:val="24"/>
        </w:rPr>
      </w:pPr>
      <w:r w:rsidRPr="008231C7">
        <w:rPr>
          <w:rStyle w:val="Kiemels"/>
          <w:rFonts w:ascii="Helvetica" w:hAnsi="Helvetica" w:cs="Helvetica"/>
          <w:b/>
          <w:bCs/>
          <w:i w:val="0"/>
          <w:iCs w:val="0"/>
          <w:sz w:val="24"/>
          <w:szCs w:val="24"/>
          <w:u w:val="single"/>
        </w:rPr>
        <w:t xml:space="preserve">A </w:t>
      </w:r>
      <w:r w:rsidR="00B267CC" w:rsidRPr="008231C7">
        <w:rPr>
          <w:rStyle w:val="Kiemels"/>
          <w:rFonts w:ascii="Helvetica" w:hAnsi="Helvetica" w:cs="Helvetica"/>
          <w:b/>
          <w:bCs/>
          <w:i w:val="0"/>
          <w:iCs w:val="0"/>
          <w:sz w:val="24"/>
          <w:szCs w:val="24"/>
          <w:u w:val="single"/>
        </w:rPr>
        <w:t>S</w:t>
      </w:r>
      <w:r w:rsidRPr="008231C7">
        <w:rPr>
          <w:rStyle w:val="Kiemels"/>
          <w:rFonts w:ascii="Helvetica" w:hAnsi="Helvetica" w:cs="Helvetica"/>
          <w:b/>
          <w:bCs/>
          <w:i w:val="0"/>
          <w:iCs w:val="0"/>
          <w:sz w:val="24"/>
          <w:szCs w:val="24"/>
          <w:u w:val="single"/>
        </w:rPr>
        <w:t>zegedre utazás célja</w:t>
      </w:r>
      <w:bookmarkStart w:id="1" w:name="_Hlk487448590"/>
      <w:bookmarkEnd w:id="0"/>
      <w:r w:rsidR="000D4A68" w:rsidRPr="008231C7">
        <w:rPr>
          <w:rStyle w:val="Kiemels"/>
          <w:rFonts w:ascii="Helvetica" w:hAnsi="Helvetica" w:cs="Helvetica"/>
          <w:b/>
          <w:bCs/>
          <w:i w:val="0"/>
          <w:iCs w:val="0"/>
          <w:sz w:val="24"/>
          <w:szCs w:val="24"/>
          <w:u w:val="single"/>
        </w:rPr>
        <w:t>:</w:t>
      </w:r>
    </w:p>
    <w:p w14:paraId="108488EF" w14:textId="5D07AEBA" w:rsidR="001264C9" w:rsidRDefault="001264C9" w:rsidP="008231C7">
      <w:pPr>
        <w:tabs>
          <w:tab w:val="left" w:pos="360"/>
        </w:tabs>
        <w:spacing w:after="0" w:line="360" w:lineRule="auto"/>
        <w:jc w:val="both"/>
        <w:rPr>
          <w:rFonts w:ascii="Helvetica" w:hAnsi="Helvetica" w:cs="Helvetica"/>
          <w:bCs/>
        </w:rPr>
      </w:pPr>
      <w:r w:rsidRPr="004935F8">
        <w:rPr>
          <w:rFonts w:ascii="Helvetica" w:hAnsi="Helvetica" w:cs="Helvetica"/>
          <w:bCs/>
        </w:rPr>
        <w:t>Mint a következő grafikonon látható, erre a kérdésre az elmúlt években is hasonló arányokban jöttek a válaszok. A kapott adatok alapján határozottan kijelenthetjük, hogy a</w:t>
      </w:r>
      <w:r w:rsidR="00B267CC" w:rsidRPr="004935F8">
        <w:rPr>
          <w:rFonts w:ascii="Helvetica" w:hAnsi="Helvetica" w:cs="Helvetica"/>
          <w:bCs/>
        </w:rPr>
        <w:t xml:space="preserve"> fesztivál időszakában a</w:t>
      </w:r>
      <w:r w:rsidRPr="004935F8">
        <w:rPr>
          <w:rFonts w:ascii="Helvetica" w:hAnsi="Helvetica" w:cs="Helvetica"/>
          <w:bCs/>
        </w:rPr>
        <w:t xml:space="preserve"> város </w:t>
      </w:r>
      <w:r w:rsidRPr="004935F8">
        <w:rPr>
          <w:rFonts w:ascii="Helvetica" w:hAnsi="Helvetica" w:cs="Helvetica"/>
          <w:bCs/>
          <w:i/>
        </w:rPr>
        <w:t xml:space="preserve">legnagyobb idegenforgalmi vonzerejét, </w:t>
      </w:r>
      <w:r w:rsidRPr="004935F8">
        <w:rPr>
          <w:rFonts w:ascii="Helvetica" w:hAnsi="Helvetica" w:cs="Helvetica"/>
          <w:bCs/>
        </w:rPr>
        <w:t>egyben</w:t>
      </w:r>
      <w:r w:rsidRPr="004935F8">
        <w:rPr>
          <w:rFonts w:ascii="Helvetica" w:hAnsi="Helvetica" w:cs="Helvetica"/>
          <w:bCs/>
          <w:i/>
        </w:rPr>
        <w:t xml:space="preserve"> idegenforgalmi attrakcióját </w:t>
      </w:r>
      <w:r w:rsidRPr="004935F8">
        <w:rPr>
          <w:rFonts w:ascii="Helvetica" w:hAnsi="Helvetica" w:cs="Helvetica"/>
          <w:bCs/>
        </w:rPr>
        <w:t>teljesen egyértelműen a Szabadtéri Játékok előadásai</w:t>
      </w:r>
      <w:r w:rsidRPr="004935F8">
        <w:rPr>
          <w:rFonts w:ascii="Helvetica" w:hAnsi="Helvetica" w:cs="Helvetica"/>
          <w:b/>
          <w:bCs/>
          <w:i/>
        </w:rPr>
        <w:t xml:space="preserve"> </w:t>
      </w:r>
      <w:r w:rsidRPr="004935F8">
        <w:rPr>
          <w:rFonts w:ascii="Helvetica" w:hAnsi="Helvetica" w:cs="Helvetica"/>
          <w:bCs/>
        </w:rPr>
        <w:t>adják.</w:t>
      </w:r>
    </w:p>
    <w:p w14:paraId="0AC6FA5A" w14:textId="77777777" w:rsidR="000D4A68" w:rsidRPr="004935F8" w:rsidRDefault="000D4A68" w:rsidP="00A51A4A">
      <w:pPr>
        <w:tabs>
          <w:tab w:val="left" w:pos="360"/>
        </w:tabs>
        <w:spacing w:after="0" w:line="276" w:lineRule="auto"/>
        <w:jc w:val="both"/>
        <w:rPr>
          <w:rFonts w:ascii="Helvetica" w:hAnsi="Helvetica" w:cs="Helvetica"/>
          <w:bCs/>
        </w:rPr>
      </w:pPr>
    </w:p>
    <w:bookmarkEnd w:id="1"/>
    <w:p w14:paraId="478603E7" w14:textId="77777777" w:rsidR="001264C9" w:rsidRPr="00981036" w:rsidRDefault="001264C9" w:rsidP="00A51A4A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77F31" w14:textId="04D56761" w:rsidR="001264C9" w:rsidRDefault="001264C9" w:rsidP="00A51A4A">
      <w:pPr>
        <w:tabs>
          <w:tab w:val="left" w:pos="360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D0A97D2" wp14:editId="08739A92">
            <wp:extent cx="5119562" cy="2239010"/>
            <wp:effectExtent l="0" t="0" r="5080" b="27940"/>
            <wp:docPr id="81" name="Diagram 81">
              <a:extLst xmlns:a="http://schemas.openxmlformats.org/drawingml/2006/main">
                <a:ext uri="{FF2B5EF4-FFF2-40B4-BE49-F238E27FC236}">
                  <a16:creationId xmlns:a16="http://schemas.microsoft.com/office/drawing/2014/main" id="{ECAA1D7A-13D9-4FBE-A884-07BA3996E1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0C9328" w14:textId="77777777" w:rsidR="007E7A7E" w:rsidRDefault="007E7A7E" w:rsidP="00A51A4A">
      <w:pPr>
        <w:spacing w:line="276" w:lineRule="auto"/>
        <w:jc w:val="center"/>
      </w:pPr>
    </w:p>
    <w:p w14:paraId="458CDF1C" w14:textId="53E78C05" w:rsidR="007E7A7E" w:rsidRDefault="007E7A7E" w:rsidP="00A51A4A">
      <w:pPr>
        <w:spacing w:line="276" w:lineRule="auto"/>
      </w:pPr>
    </w:p>
    <w:p w14:paraId="70B2445B" w14:textId="74F38F81" w:rsidR="007E7A7E" w:rsidRPr="008231C7" w:rsidRDefault="007E7A7E" w:rsidP="00A51A4A">
      <w:pPr>
        <w:spacing w:line="276" w:lineRule="auto"/>
        <w:rPr>
          <w:rFonts w:ascii="Helvetica" w:hAnsi="Helvetica" w:cs="Helvetica"/>
          <w:b/>
          <w:bCs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>Törzsvendégek:</w:t>
      </w: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br/>
      </w:r>
    </w:p>
    <w:p w14:paraId="6193720A" w14:textId="7581CE59" w:rsidR="001264C9" w:rsidRDefault="001264C9" w:rsidP="00A51A4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833183E" wp14:editId="68044FBB">
            <wp:extent cx="4659607" cy="2425065"/>
            <wp:effectExtent l="0" t="0" r="8255" b="13335"/>
            <wp:docPr id="46" name="Diagram 46">
              <a:extLst xmlns:a="http://schemas.openxmlformats.org/drawingml/2006/main">
                <a:ext uri="{FF2B5EF4-FFF2-40B4-BE49-F238E27FC236}">
                  <a16:creationId xmlns:a16="http://schemas.microsoft.com/office/drawing/2014/main" id="{20E0D6C5-8A07-41A0-B0F0-9C871B0432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FD61576" w14:textId="0472A58D" w:rsidR="00A32ED2" w:rsidRPr="00A32ED2" w:rsidRDefault="00A32ED2" w:rsidP="008231C7">
      <w:pPr>
        <w:spacing w:after="0" w:line="240" w:lineRule="auto"/>
        <w:jc w:val="center"/>
        <w:rPr>
          <w:rFonts w:ascii="Helvetica" w:hAnsi="Helvetica" w:cs="Helvetica"/>
          <w:i/>
          <w:iCs/>
        </w:rPr>
      </w:pPr>
      <w:r w:rsidRPr="00A32ED2">
        <w:rPr>
          <w:rFonts w:ascii="Helvetica" w:hAnsi="Helvetica" w:cs="Helvetica"/>
          <w:i/>
          <w:iCs/>
        </w:rPr>
        <w:t>2019-ben</w:t>
      </w:r>
    </w:p>
    <w:p w14:paraId="35368196" w14:textId="77777777" w:rsidR="001264C9" w:rsidRPr="00424E8F" w:rsidRDefault="001264C9" w:rsidP="00A51A4A">
      <w:pPr>
        <w:spacing w:line="276" w:lineRule="auto"/>
        <w:jc w:val="both"/>
      </w:pPr>
    </w:p>
    <w:p w14:paraId="31EFB3DD" w14:textId="63C599A9" w:rsidR="000D4A68" w:rsidRDefault="000C129B" w:rsidP="008154CA">
      <w:pPr>
        <w:spacing w:line="360" w:lineRule="auto"/>
        <w:jc w:val="both"/>
        <w:rPr>
          <w:rFonts w:ascii="Helvetica" w:hAnsi="Helvetica" w:cs="Helvetica"/>
        </w:rPr>
      </w:pPr>
      <w:r w:rsidRPr="007F602C">
        <w:rPr>
          <w:rFonts w:ascii="Helvetica" w:hAnsi="Helvetica" w:cs="Helvetica"/>
        </w:rPr>
        <w:t>2019-ben</w:t>
      </w:r>
      <w:r w:rsidR="001264C9" w:rsidRPr="007F602C">
        <w:rPr>
          <w:rFonts w:ascii="Helvetica" w:hAnsi="Helvetica" w:cs="Helvetica"/>
        </w:rPr>
        <w:t xml:space="preserve"> nézőink bő ötöde először jött a Dóm térre előadást nézni – ez új közönséget jelent -, kb. ugyanennyien visszatérő vendégek – a másodszori és harmadszori látogatók </w:t>
      </w:r>
      <w:r w:rsidR="008231C7">
        <w:rPr>
          <w:rFonts w:ascii="Helvetica" w:hAnsi="Helvetica" w:cs="Helvetica"/>
        </w:rPr>
        <w:t>-</w:t>
      </w:r>
      <w:r w:rsidR="001264C9" w:rsidRPr="007F602C">
        <w:rPr>
          <w:rFonts w:ascii="Helvetica" w:hAnsi="Helvetica" w:cs="Helvetica"/>
        </w:rPr>
        <w:t xml:space="preserve">, a többieket, a nézők bő 3 ötödét tekinthetjük visszatérő vendégeknek, az átlag 8,9 alkalom. </w:t>
      </w:r>
      <w:r w:rsidR="00264449">
        <w:rPr>
          <w:rFonts w:ascii="Helvetica" w:hAnsi="Helvetica" w:cs="Helvetica"/>
        </w:rPr>
        <w:t>E</w:t>
      </w:r>
      <w:r w:rsidR="001264C9" w:rsidRPr="007F602C">
        <w:rPr>
          <w:rFonts w:ascii="Helvetica" w:hAnsi="Helvetica" w:cs="Helvetica"/>
        </w:rPr>
        <w:t>gy nyilvános hely rangját elsősorban a törzsvendégei száma adja, így erre az átlageredményre a Szabadtéri Játékok méltán büszke.</w:t>
      </w:r>
    </w:p>
    <w:p w14:paraId="044E9E90" w14:textId="77777777" w:rsidR="000D4A68" w:rsidRDefault="000D4A68" w:rsidP="00A51A4A">
      <w:pPr>
        <w:spacing w:line="276" w:lineRule="auto"/>
        <w:jc w:val="both"/>
        <w:rPr>
          <w:rFonts w:ascii="Helvetica" w:hAnsi="Helvetica" w:cs="Helvetica"/>
        </w:rPr>
      </w:pPr>
    </w:p>
    <w:p w14:paraId="41089B7A" w14:textId="02417D87" w:rsidR="000D4A68" w:rsidRPr="008231C7" w:rsidRDefault="00E85CFC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231C7">
        <w:rPr>
          <w:rFonts w:ascii="Helvetica" w:hAnsi="Helvetica" w:cs="Helvetica"/>
          <w:b/>
          <w:bCs/>
          <w:sz w:val="24"/>
          <w:szCs w:val="24"/>
          <w:u w:val="single"/>
        </w:rPr>
        <w:t>A városban töltött idő</w:t>
      </w:r>
      <w:r w:rsidR="000D4A68" w:rsidRPr="008231C7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2AA303C7" w14:textId="77777777" w:rsidR="00E85CFC" w:rsidRDefault="00E85CFC" w:rsidP="00A51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4B199" w14:textId="77777777" w:rsidR="00E85CFC" w:rsidRPr="00981036" w:rsidRDefault="00E85CFC" w:rsidP="00A51A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CD40FF" wp14:editId="3B5B72AB">
            <wp:extent cx="4084320" cy="2275367"/>
            <wp:effectExtent l="0" t="0" r="11430" b="10795"/>
            <wp:docPr id="20" name="Diagram 20">
              <a:extLst xmlns:a="http://schemas.openxmlformats.org/drawingml/2006/main">
                <a:ext uri="{FF2B5EF4-FFF2-40B4-BE49-F238E27FC236}">
                  <a16:creationId xmlns:a16="http://schemas.microsoft.com/office/drawing/2014/main" id="{3C7C7EAD-C3D6-43DD-843D-B66742501E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CAE1F49" w14:textId="77777777" w:rsidR="00E85CFC" w:rsidRDefault="00E85CFC" w:rsidP="00A51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31228" w14:textId="77777777" w:rsidR="00E85CFC" w:rsidRPr="007F602C" w:rsidRDefault="00E85CFC" w:rsidP="008231C7">
      <w:pPr>
        <w:spacing w:after="0" w:line="360" w:lineRule="auto"/>
        <w:jc w:val="both"/>
        <w:rPr>
          <w:rFonts w:ascii="Helvetica" w:hAnsi="Helvetica" w:cs="Helvetica"/>
        </w:rPr>
      </w:pPr>
      <w:r w:rsidRPr="007F602C">
        <w:rPr>
          <w:rFonts w:ascii="Helvetica" w:hAnsi="Helvetica" w:cs="Helvetica"/>
        </w:rPr>
        <w:t xml:space="preserve">2009-től tapasztaljuk, hogy a vendégek kb. </w:t>
      </w:r>
      <w:r w:rsidRPr="007F602C">
        <w:rPr>
          <w:rFonts w:ascii="Helvetica" w:hAnsi="Helvetica" w:cs="Helvetica"/>
          <w:i/>
        </w:rPr>
        <w:t xml:space="preserve">fele, </w:t>
      </w:r>
      <w:r w:rsidRPr="007F602C">
        <w:rPr>
          <w:rFonts w:ascii="Helvetica" w:hAnsi="Helvetica" w:cs="Helvetica"/>
        </w:rPr>
        <w:t xml:space="preserve">bár indokolt lenne (az előadások éjfél körül végződnek), de nem éjszakázik Szegeden.  Ez azóta sem változik, </w:t>
      </w:r>
      <w:r w:rsidRPr="007F602C">
        <w:rPr>
          <w:rFonts w:ascii="Helvetica" w:hAnsi="Helvetica" w:cs="Helvetica"/>
          <w:i/>
        </w:rPr>
        <w:t>a vendégek bővebb fele</w:t>
      </w:r>
      <w:r w:rsidRPr="007F602C">
        <w:rPr>
          <w:rFonts w:ascii="Helvetica" w:hAnsi="Helvetica" w:cs="Helvetica"/>
        </w:rPr>
        <w:t xml:space="preserve"> az előadás után hazaautózik. Az itt töltött napok átlaga: 1,8.</w:t>
      </w:r>
    </w:p>
    <w:p w14:paraId="6E0C4BD0" w14:textId="57696395" w:rsidR="00E85CFC" w:rsidRPr="007F602C" w:rsidRDefault="00E85CFC" w:rsidP="008231C7">
      <w:pPr>
        <w:spacing w:after="0" w:line="360" w:lineRule="auto"/>
        <w:ind w:firstLine="426"/>
        <w:jc w:val="both"/>
        <w:rPr>
          <w:rFonts w:ascii="Helvetica" w:hAnsi="Helvetica" w:cs="Helvetica"/>
        </w:rPr>
      </w:pPr>
      <w:r w:rsidRPr="007F602C">
        <w:rPr>
          <w:rFonts w:ascii="Helvetica" w:hAnsi="Helvetica" w:cs="Helvetica"/>
        </w:rPr>
        <w:t xml:space="preserve">2014-ben a vendégek 58,5%-a utazott haza közvetlenül az előadás után, 2015-ben kicsivel több, mint a felük, pontosan 53%-uk. 2016-ban kicsit javultak az arányok: árnyalatnyival kevesebben mentek haza az előadás után (42,9%), 2017-ben 42,9%, </w:t>
      </w:r>
      <w:r w:rsidR="00264449">
        <w:rPr>
          <w:rFonts w:ascii="Helvetica" w:hAnsi="Helvetica" w:cs="Helvetica"/>
        </w:rPr>
        <w:t>2018-ban</w:t>
      </w:r>
      <w:r w:rsidRPr="007F602C">
        <w:rPr>
          <w:rFonts w:ascii="Helvetica" w:hAnsi="Helvetica" w:cs="Helvetica"/>
        </w:rPr>
        <w:t xml:space="preserve"> 49,1%, </w:t>
      </w:r>
      <w:r w:rsidR="00264449">
        <w:rPr>
          <w:rFonts w:ascii="Helvetica" w:hAnsi="Helvetica" w:cs="Helvetica"/>
        </w:rPr>
        <w:t xml:space="preserve">2019-ben </w:t>
      </w:r>
      <w:r w:rsidRPr="007F602C">
        <w:rPr>
          <w:rFonts w:ascii="Helvetica" w:hAnsi="Helvetica" w:cs="Helvetica"/>
        </w:rPr>
        <w:t>56%.</w:t>
      </w:r>
    </w:p>
    <w:p w14:paraId="68C56F1C" w14:textId="77777777" w:rsidR="00E85CFC" w:rsidRPr="00981036" w:rsidRDefault="00E85CFC" w:rsidP="00A51A4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446B72" w14:textId="6DCA9383" w:rsidR="00E85CFC" w:rsidRPr="00981036" w:rsidRDefault="008231C7" w:rsidP="00A51A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89FFE1" wp14:editId="638E61CF">
            <wp:extent cx="4200111" cy="2231390"/>
            <wp:effectExtent l="0" t="0" r="10160" b="16510"/>
            <wp:docPr id="21" name="Diagram 21">
              <a:extLst xmlns:a="http://schemas.openxmlformats.org/drawingml/2006/main">
                <a:ext uri="{FF2B5EF4-FFF2-40B4-BE49-F238E27FC236}">
                  <a16:creationId xmlns:a16="http://schemas.microsoft.com/office/drawing/2014/main" id="{88D692DD-E4DF-4654-B5DA-7ACF2744B9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0DAF24B" w14:textId="77777777" w:rsidR="00E85CFC" w:rsidRDefault="00E85CFC" w:rsidP="00A51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D66E7" w14:textId="31C293F0" w:rsidR="004916EB" w:rsidRDefault="00E85CFC" w:rsidP="00A5496C">
      <w:pPr>
        <w:spacing w:after="0" w:line="360" w:lineRule="auto"/>
        <w:jc w:val="both"/>
        <w:rPr>
          <w:rFonts w:ascii="Helvetica" w:hAnsi="Helvetica" w:cs="Helvetica"/>
        </w:rPr>
      </w:pPr>
      <w:r w:rsidRPr="007F602C">
        <w:rPr>
          <w:rFonts w:ascii="Helvetica" w:hAnsi="Helvetica" w:cs="Helvetica"/>
        </w:rPr>
        <w:lastRenderedPageBreak/>
        <w:t xml:space="preserve">A vizsgált szezonok közül 2014-ben éjszakáztak Szegeden a legkevesebben (42%), 2015-ben ez az arány kicsit javult (47%), 2016-ban még egy árnyalattal javult. 2017-ben viszont csak a vendégek 42,9%-a utazott el az előadás után, azaz 57,1% itt éjszakázott, </w:t>
      </w:r>
      <w:r w:rsidR="002A0485">
        <w:rPr>
          <w:rFonts w:ascii="Helvetica" w:hAnsi="Helvetica" w:cs="Helvetica"/>
        </w:rPr>
        <w:t>2018-ban</w:t>
      </w:r>
      <w:r w:rsidRPr="007F602C">
        <w:rPr>
          <w:rFonts w:ascii="Helvetica" w:hAnsi="Helvetica" w:cs="Helvetica"/>
        </w:rPr>
        <w:t xml:space="preserve"> ehhez képest némi visszaesés látszik: 50,9% éjszakázott Szegeden, a vendégek egészére kivetítve átlagosan 0,96 itt töltött éjszakát jelent. </w:t>
      </w:r>
      <w:r w:rsidR="002A0485">
        <w:rPr>
          <w:rFonts w:ascii="Helvetica" w:hAnsi="Helvetica" w:cs="Helvetica"/>
        </w:rPr>
        <w:t>2019-ben</w:t>
      </w:r>
      <w:r w:rsidRPr="007F602C">
        <w:rPr>
          <w:rFonts w:ascii="Helvetica" w:hAnsi="Helvetica" w:cs="Helvetica"/>
        </w:rPr>
        <w:t xml:space="preserve"> többen, 56,1% éjszakázott itt, de kevesebben maradtak tovább, az átlag 0,6 Szegeden töltött éjszaka.</w:t>
      </w:r>
    </w:p>
    <w:p w14:paraId="0BF44DAB" w14:textId="77777777" w:rsidR="00A5496C" w:rsidRPr="00A5496C" w:rsidRDefault="00A5496C" w:rsidP="00A5496C">
      <w:pPr>
        <w:spacing w:after="0" w:line="360" w:lineRule="auto"/>
        <w:jc w:val="both"/>
        <w:rPr>
          <w:rFonts w:ascii="Helvetica" w:hAnsi="Helvetica" w:cs="Helvetica"/>
        </w:rPr>
      </w:pPr>
    </w:p>
    <w:p w14:paraId="52D741DC" w14:textId="44F1942F" w:rsidR="000D4A68" w:rsidRDefault="000D4A68" w:rsidP="00A51A4A">
      <w:pPr>
        <w:spacing w:line="276" w:lineRule="auto"/>
        <w:rPr>
          <w:rFonts w:ascii="Helvetica" w:hAnsi="Helvetica" w:cs="Helvetica"/>
          <w:b/>
          <w:bCs/>
          <w:u w:val="single"/>
        </w:rPr>
      </w:pPr>
    </w:p>
    <w:p w14:paraId="2AAFDABB" w14:textId="4C5CC584" w:rsidR="00FC104C" w:rsidRPr="00A5496C" w:rsidRDefault="00FC104C" w:rsidP="00A51A4A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A5496C">
        <w:rPr>
          <w:rFonts w:ascii="Helvetica" w:hAnsi="Helvetica" w:cs="Helvetica"/>
          <w:b/>
          <w:bCs/>
          <w:sz w:val="24"/>
          <w:szCs w:val="24"/>
          <w:u w:val="single"/>
        </w:rPr>
        <w:t>Műfaji preferenciák</w:t>
      </w:r>
      <w:r w:rsidR="000D4A68" w:rsidRPr="00A5496C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601E7BD1" w14:textId="77777777" w:rsidR="0088109B" w:rsidRPr="0088109B" w:rsidRDefault="0088109B" w:rsidP="00A5496C">
      <w:pPr>
        <w:pStyle w:val="NormlWeb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88109B">
        <w:rPr>
          <w:rFonts w:ascii="Helvetica" w:hAnsi="Helvetica" w:cs="Helvetica"/>
          <w:sz w:val="22"/>
          <w:szCs w:val="22"/>
        </w:rPr>
        <w:t>Az egyes színházi műfajok kedveltségét már sok éve kérdezzük, a válaszokat ötfokozatú skálán összegezzük, így: egyáltalán nem kedvelem: 1, inkább nem kedvelem: 2, is-is: 3, inkább kedvelem: 4, kifejezetten kedvelem: 5.</w:t>
      </w:r>
    </w:p>
    <w:p w14:paraId="0C80F9DD" w14:textId="77777777" w:rsidR="0088109B" w:rsidRPr="0088109B" w:rsidRDefault="0088109B" w:rsidP="00A5496C">
      <w:pPr>
        <w:pStyle w:val="NormlWeb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88109B">
        <w:rPr>
          <w:rFonts w:ascii="Helvetica" w:hAnsi="Helvetica" w:cs="Helvetica"/>
          <w:sz w:val="22"/>
          <w:szCs w:val="22"/>
        </w:rPr>
        <w:t>Minden műfaj eredményeinek átlagát vesszük figyelembe, ezek erősorrendjét állítjuk fel.</w:t>
      </w:r>
    </w:p>
    <w:p w14:paraId="4AFE4D34" w14:textId="0BB39B36" w:rsidR="0088109B" w:rsidRPr="0088109B" w:rsidRDefault="00A5496C" w:rsidP="00A5496C">
      <w:pPr>
        <w:pStyle w:val="NormlWeb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2018-ban</w:t>
      </w:r>
      <w:r w:rsidR="0088109B" w:rsidRPr="0088109B">
        <w:rPr>
          <w:rFonts w:ascii="Helvetica" w:hAnsi="Helvetica" w:cs="Helvetica"/>
          <w:sz w:val="22"/>
          <w:szCs w:val="22"/>
        </w:rPr>
        <w:t xml:space="preserve"> kíváncsiak voltunk arra, hogy a válaszok megoszlanak-e szegediek és vendégek között, de egy műfaj esetében sem találtunk értékelhető különbséget, ezért ezt a felosztást </w:t>
      </w:r>
      <w:r>
        <w:rPr>
          <w:rFonts w:ascii="Helvetica" w:hAnsi="Helvetica" w:cs="Helvetica"/>
          <w:sz w:val="22"/>
          <w:szCs w:val="22"/>
        </w:rPr>
        <w:t>2019-ben</w:t>
      </w:r>
      <w:r w:rsidR="0088109B" w:rsidRPr="0088109B">
        <w:rPr>
          <w:rFonts w:ascii="Helvetica" w:hAnsi="Helvetica" w:cs="Helvetica"/>
          <w:sz w:val="22"/>
          <w:szCs w:val="22"/>
        </w:rPr>
        <w:t xml:space="preserve"> már nem alkalmaztuk.</w:t>
      </w:r>
    </w:p>
    <w:p w14:paraId="5BF0DF0B" w14:textId="684B215B" w:rsidR="00A5496C" w:rsidRDefault="0088109B" w:rsidP="0075681D">
      <w:pPr>
        <w:pStyle w:val="NormlWeb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88109B">
        <w:rPr>
          <w:rFonts w:ascii="Helvetica" w:hAnsi="Helvetica" w:cs="Helvetica"/>
          <w:sz w:val="22"/>
          <w:szCs w:val="22"/>
        </w:rPr>
        <w:t xml:space="preserve">Az átlagéletkor emelkedésére felfigyelve, </w:t>
      </w:r>
      <w:r w:rsidR="00A5496C">
        <w:rPr>
          <w:rFonts w:ascii="Helvetica" w:hAnsi="Helvetica" w:cs="Helvetica"/>
          <w:sz w:val="22"/>
          <w:szCs w:val="22"/>
        </w:rPr>
        <w:t>2018-ban</w:t>
      </w:r>
      <w:r w:rsidRPr="0088109B">
        <w:rPr>
          <w:rFonts w:ascii="Helvetica" w:hAnsi="Helvetica" w:cs="Helvetica"/>
          <w:sz w:val="22"/>
          <w:szCs w:val="22"/>
        </w:rPr>
        <w:t xml:space="preserve"> megvizsgáltuk a műfaji preferenciákat életkor szerint is, a nézőket a „fiatalok” (13-39 évesek), „középkorúak” (40-59 évesek), és „idősek” (60 évesek és annál idősebbek) csoportjaira osztottuk. Azt az eredményt kaptuk, hogy a műfajok kedveltségében az életkor nem releváns, legfeljebb csak árnyalatnyi különbségeket mutat. Végül megállapítottuk, hogy karakteres eltérés a műfajok kedveltségében a korosztályok között nincsen, ezért idén ezt a különbségtételt se alkalmaztuk.</w:t>
      </w:r>
    </w:p>
    <w:p w14:paraId="60974413" w14:textId="56C0E955" w:rsidR="004819C8" w:rsidRPr="000C2C32" w:rsidRDefault="0088109B" w:rsidP="002A0485">
      <w:pPr>
        <w:pStyle w:val="NormlWeb"/>
        <w:rPr>
          <w:rFonts w:ascii="Helvetica" w:hAnsi="Helvetica" w:cs="Helvetica"/>
          <w:i/>
          <w:iCs/>
          <w:sz w:val="22"/>
          <w:szCs w:val="22"/>
        </w:rPr>
      </w:pPr>
      <w:r w:rsidRPr="000C2C32">
        <w:rPr>
          <w:rFonts w:ascii="Helvetica" w:hAnsi="Helvetica" w:cs="Helvetica"/>
          <w:i/>
          <w:iCs/>
          <w:sz w:val="22"/>
          <w:szCs w:val="22"/>
        </w:rPr>
        <w:t>2019-ben a következő eredmények születtek:</w:t>
      </w:r>
    </w:p>
    <w:p w14:paraId="7CD30EA0" w14:textId="11CFE3B8" w:rsidR="002A0485" w:rsidRPr="0075681D" w:rsidRDefault="0088109B" w:rsidP="0075681D">
      <w:pPr>
        <w:pStyle w:val="NormlWeb"/>
        <w:jc w:val="center"/>
      </w:pPr>
      <w:r>
        <w:rPr>
          <w:noProof/>
        </w:rPr>
        <w:drawing>
          <wp:inline distT="0" distB="0" distL="0" distR="0" wp14:anchorId="2EB8B96B" wp14:editId="55FD7A27">
            <wp:extent cx="5475694" cy="2743200"/>
            <wp:effectExtent l="0" t="0" r="10795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8388BDEC-35BE-4DC5-ADDF-AA8ADC03A4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E72E436" w14:textId="65C53C92" w:rsidR="0088109B" w:rsidRPr="0088109B" w:rsidRDefault="00A5496C" w:rsidP="0088109B">
      <w:p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2019-ben</w:t>
      </w:r>
      <w:r w:rsidR="0088109B" w:rsidRPr="0088109B">
        <w:rPr>
          <w:rFonts w:ascii="Helvetica" w:hAnsi="Helvetica" w:cs="Helvetica"/>
        </w:rPr>
        <w:t xml:space="preserve"> a néptánc megelőzte az operettet (a negyedik helyről lépett előrébb a harmadikra), ugyanígy az opera a modern drámát (a hetedik helyről lépett előrébb a hatodikra), de a sorrend minden másban egyezik a </w:t>
      </w:r>
      <w:r>
        <w:rPr>
          <w:rFonts w:ascii="Helvetica" w:hAnsi="Helvetica" w:cs="Helvetica"/>
        </w:rPr>
        <w:t>2018-as adatokkal</w:t>
      </w:r>
      <w:r w:rsidR="0088109B" w:rsidRPr="0088109B">
        <w:rPr>
          <w:rFonts w:ascii="Helvetica" w:hAnsi="Helvetica" w:cs="Helvetica"/>
        </w:rPr>
        <w:t>.</w:t>
      </w:r>
    </w:p>
    <w:p w14:paraId="18A9E96D" w14:textId="77777777" w:rsidR="0088109B" w:rsidRPr="0088109B" w:rsidRDefault="0088109B" w:rsidP="0088109B">
      <w:pPr>
        <w:spacing w:line="360" w:lineRule="auto"/>
        <w:jc w:val="both"/>
        <w:rPr>
          <w:rFonts w:ascii="Helvetica" w:hAnsi="Helvetica" w:cs="Helvetica"/>
        </w:rPr>
      </w:pPr>
    </w:p>
    <w:p w14:paraId="43D534EC" w14:textId="033046AC" w:rsidR="002A0485" w:rsidRPr="0088109B" w:rsidRDefault="0088109B" w:rsidP="0088109B">
      <w:pPr>
        <w:spacing w:line="360" w:lineRule="auto"/>
        <w:jc w:val="both"/>
        <w:rPr>
          <w:rFonts w:ascii="Helvetica" w:hAnsi="Helvetica" w:cs="Helvetica"/>
        </w:rPr>
      </w:pPr>
      <w:r w:rsidRPr="0088109B">
        <w:rPr>
          <w:rFonts w:ascii="Helvetica" w:hAnsi="Helvetica" w:cs="Helvetica"/>
        </w:rPr>
        <w:t xml:space="preserve">A </w:t>
      </w:r>
      <w:r w:rsidR="00A5496C">
        <w:rPr>
          <w:rFonts w:ascii="Helvetica" w:hAnsi="Helvetica" w:cs="Helvetica"/>
        </w:rPr>
        <w:t>2018-ban készített</w:t>
      </w:r>
      <w:r w:rsidRPr="0088109B">
        <w:rPr>
          <w:rFonts w:ascii="Helvetica" w:hAnsi="Helvetica" w:cs="Helvetica"/>
        </w:rPr>
        <w:t xml:space="preserve"> részletesebb feldolgozás eredményeit is figyelembe véve, összegezve megállapítható, hogy a közönség egészére mért műfaji preferenciák nem mutatnak észlelhető eltérést, ezért érvényesek mind a generációs, mind az iskolai végzettség, mind a nemek szerinti, és a vendég-szegedi relációkban.</w:t>
      </w:r>
    </w:p>
    <w:p w14:paraId="21CF0EDE" w14:textId="1F7A0E5A" w:rsidR="002A0485" w:rsidRDefault="002A0485" w:rsidP="00A51A4A">
      <w:pPr>
        <w:spacing w:line="276" w:lineRule="auto"/>
        <w:jc w:val="both"/>
        <w:rPr>
          <w:rFonts w:ascii="Helvetica" w:hAnsi="Helvetica" w:cs="Helvetica"/>
          <w:sz w:val="24"/>
          <w:szCs w:val="24"/>
          <w:u w:val="single"/>
        </w:rPr>
      </w:pPr>
    </w:p>
    <w:p w14:paraId="288552E9" w14:textId="3D556D80" w:rsidR="002A0485" w:rsidRDefault="0088109B" w:rsidP="004104B7">
      <w:pPr>
        <w:spacing w:line="276" w:lineRule="auto"/>
        <w:jc w:val="center"/>
        <w:rPr>
          <w:rFonts w:ascii="Helvetica" w:hAnsi="Helvetica" w:cs="Helvetica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156AF0E" wp14:editId="54C698C7">
            <wp:extent cx="5708753" cy="2743200"/>
            <wp:effectExtent l="0" t="0" r="6350" b="0"/>
            <wp:docPr id="27" name="Diagram 27">
              <a:extLst xmlns:a="http://schemas.openxmlformats.org/drawingml/2006/main">
                <a:ext uri="{FF2B5EF4-FFF2-40B4-BE49-F238E27FC236}">
                  <a16:creationId xmlns:a16="http://schemas.microsoft.com/office/drawing/2014/main" id="{3281FBA0-9994-45DE-9396-A729E0D47D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EB0DE42" w14:textId="0AAD4E93" w:rsidR="006D74C3" w:rsidRPr="00130769" w:rsidRDefault="006D74C3" w:rsidP="00130769">
      <w:pPr>
        <w:spacing w:line="360" w:lineRule="auto"/>
        <w:jc w:val="both"/>
        <w:rPr>
          <w:rFonts w:ascii="Helvetica" w:hAnsi="Helvetica" w:cs="Helvetica"/>
          <w:u w:val="single"/>
        </w:rPr>
      </w:pPr>
    </w:p>
    <w:p w14:paraId="1015FA51" w14:textId="616D309C" w:rsidR="004104B7" w:rsidRPr="004104B7" w:rsidRDefault="004104B7" w:rsidP="004104B7">
      <w:pPr>
        <w:spacing w:line="360" w:lineRule="auto"/>
        <w:jc w:val="both"/>
        <w:rPr>
          <w:rFonts w:ascii="Helvetica" w:hAnsi="Helvetica" w:cs="Helvetica"/>
        </w:rPr>
      </w:pPr>
      <w:r w:rsidRPr="004104B7">
        <w:rPr>
          <w:rFonts w:ascii="Helvetica" w:hAnsi="Helvetica" w:cs="Helvetica"/>
        </w:rPr>
        <w:t>A mi nézőink eljárnak a fesztiválokra, kulturális rendezvényekre, eseményekre. A Szabadtéri Játékok nézőinek többsége leginkább színházban, koncerten és alkalmi kulturális eseményen, általában évente egyszer-kétszer fordult meg.</w:t>
      </w:r>
    </w:p>
    <w:p w14:paraId="6570E020" w14:textId="5806C0BC" w:rsidR="000D4A68" w:rsidRDefault="00A5496C" w:rsidP="004104B7">
      <w:p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2019-ben</w:t>
      </w:r>
      <w:r w:rsidR="004104B7" w:rsidRPr="004104B7">
        <w:rPr>
          <w:rFonts w:ascii="Helvetica" w:hAnsi="Helvetica" w:cs="Helvetica"/>
        </w:rPr>
        <w:t xml:space="preserve"> is elmondható, hogy a közönségünk többsége leginkább színházlátogató, 21%-uk havonta, 35,8-uk két-három havonta megy színházba. Megfigyelhető azonban egy kedvezőtlen folyamat, miszerint lassan csökken az eljárók, és nő a távolmaradók aránya. Nézőink fel</w:t>
      </w:r>
      <w:r>
        <w:rPr>
          <w:rFonts w:ascii="Helvetica" w:hAnsi="Helvetica" w:cs="Helvetica"/>
        </w:rPr>
        <w:t>e</w:t>
      </w:r>
      <w:r w:rsidR="004104B7" w:rsidRPr="004104B7">
        <w:rPr>
          <w:rFonts w:ascii="Helvetica" w:hAnsi="Helvetica" w:cs="Helvetica"/>
        </w:rPr>
        <w:t xml:space="preserve"> úgy nyilatkozott, hogy szigorú beosztással meg tudja látogatni az őt leginkább érdeklő kulturális eseményeket.</w:t>
      </w:r>
    </w:p>
    <w:p w14:paraId="44C95B32" w14:textId="77777777" w:rsidR="004104B7" w:rsidRPr="004104B7" w:rsidRDefault="004104B7" w:rsidP="004104B7">
      <w:pPr>
        <w:spacing w:line="360" w:lineRule="auto"/>
        <w:jc w:val="both"/>
        <w:rPr>
          <w:rFonts w:ascii="Helvetica" w:hAnsi="Helvetica" w:cs="Helvetica"/>
        </w:rPr>
      </w:pPr>
    </w:p>
    <w:p w14:paraId="74A3DD30" w14:textId="34B6D75D" w:rsidR="00E85CFC" w:rsidRPr="0088109B" w:rsidRDefault="00FC104C" w:rsidP="00A51A4A">
      <w:pPr>
        <w:tabs>
          <w:tab w:val="left" w:pos="3268"/>
        </w:tabs>
        <w:spacing w:after="0"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8109B">
        <w:rPr>
          <w:rFonts w:ascii="Helvetica" w:hAnsi="Helvetica" w:cs="Helvetica"/>
          <w:b/>
          <w:bCs/>
          <w:sz w:val="24"/>
          <w:szCs w:val="24"/>
          <w:u w:val="single"/>
        </w:rPr>
        <w:t>Elégedettség</w:t>
      </w:r>
      <w:r w:rsidR="000D4A68" w:rsidRPr="0088109B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30FACC73" w14:textId="77777777" w:rsidR="00FC104C" w:rsidRPr="007F602C" w:rsidRDefault="00FC104C" w:rsidP="0088109B">
      <w:pPr>
        <w:tabs>
          <w:tab w:val="left" w:pos="3268"/>
        </w:tabs>
        <w:spacing w:after="0" w:line="360" w:lineRule="auto"/>
        <w:jc w:val="both"/>
        <w:rPr>
          <w:rFonts w:ascii="Helvetica" w:hAnsi="Helvetica" w:cs="Helvetica"/>
        </w:rPr>
      </w:pPr>
    </w:p>
    <w:p w14:paraId="4D698235" w14:textId="0DE96034" w:rsidR="00E85CFC" w:rsidRPr="007F602C" w:rsidRDefault="00E85CFC" w:rsidP="0088109B">
      <w:pPr>
        <w:tabs>
          <w:tab w:val="left" w:pos="3268"/>
        </w:tabs>
        <w:spacing w:after="0" w:line="360" w:lineRule="auto"/>
        <w:jc w:val="both"/>
        <w:rPr>
          <w:rFonts w:ascii="Helvetica" w:hAnsi="Helvetica" w:cs="Helvetica"/>
        </w:rPr>
      </w:pPr>
      <w:r w:rsidRPr="007F602C">
        <w:rPr>
          <w:rFonts w:ascii="Helvetica" w:hAnsi="Helvetica" w:cs="Helvetica"/>
        </w:rPr>
        <w:t xml:space="preserve">Megállapítható, hogy a Szabadtéri Játékok </w:t>
      </w:r>
      <w:r w:rsidR="000C129B" w:rsidRPr="007F602C">
        <w:rPr>
          <w:rFonts w:ascii="Helvetica" w:hAnsi="Helvetica" w:cs="Helvetica"/>
        </w:rPr>
        <w:t xml:space="preserve">2019-es </w:t>
      </w:r>
      <w:r w:rsidRPr="007F602C">
        <w:rPr>
          <w:rFonts w:ascii="Helvetica" w:hAnsi="Helvetica" w:cs="Helvetica"/>
        </w:rPr>
        <w:t xml:space="preserve">közönsége is elégedett volt, külön-külön az egyes kérdezett tényezőkkel és összességében a programsorozattal egyaránt – csakúgy, mint a korábbi években. </w:t>
      </w:r>
      <w:r w:rsidR="00BC5C14">
        <w:rPr>
          <w:rFonts w:ascii="Helvetica" w:hAnsi="Helvetica" w:cs="Helvetica"/>
        </w:rPr>
        <w:t>Az</w:t>
      </w:r>
      <w:r w:rsidRPr="007F602C">
        <w:rPr>
          <w:rFonts w:ascii="Helvetica" w:hAnsi="Helvetica" w:cs="Helvetica"/>
        </w:rPr>
        <w:t xml:space="preserve"> ötfokozatú skálá</w:t>
      </w:r>
      <w:r w:rsidR="00730219">
        <w:rPr>
          <w:rFonts w:ascii="Helvetica" w:hAnsi="Helvetica" w:cs="Helvetica"/>
        </w:rPr>
        <w:t>n</w:t>
      </w:r>
      <w:r w:rsidRPr="007F602C">
        <w:rPr>
          <w:rFonts w:ascii="Helvetica" w:hAnsi="Helvetica" w:cs="Helvetica"/>
        </w:rPr>
        <w:t>: minden osztályzat jeles, az eltérések a jeles értéken belül (4,62 - 4,78 között) árnyalatnyiak.</w:t>
      </w:r>
    </w:p>
    <w:p w14:paraId="23A7E609" w14:textId="77777777" w:rsidR="00AA118A" w:rsidRPr="00981036" w:rsidRDefault="00AA118A" w:rsidP="00A51A4A">
      <w:pPr>
        <w:tabs>
          <w:tab w:val="left" w:pos="3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3C725" w14:textId="77777777" w:rsidR="000D4A68" w:rsidRDefault="00707066" w:rsidP="00A51A4A">
      <w:pPr>
        <w:spacing w:after="0" w:line="276" w:lineRule="auto"/>
        <w:jc w:val="center"/>
        <w:rPr>
          <w:rFonts w:ascii="Helvetica" w:hAnsi="Helvetica" w:cs="Helvetica"/>
          <w:b/>
          <w:bCs/>
        </w:rPr>
      </w:pPr>
      <w:bookmarkStart w:id="2" w:name="_Hlk487449578"/>
      <w:r>
        <w:rPr>
          <w:noProof/>
        </w:rPr>
        <w:drawing>
          <wp:inline distT="0" distB="0" distL="0" distR="0" wp14:anchorId="417AE6D9" wp14:editId="246D7141">
            <wp:extent cx="5273453" cy="2806700"/>
            <wp:effectExtent l="0" t="0" r="3810" b="1270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5E3DAF06-0742-4286-AA42-5A870F0B27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bookmarkStart w:id="3" w:name="_Toc19637027"/>
      <w:bookmarkEnd w:id="2"/>
    </w:p>
    <w:p w14:paraId="6ECBAF70" w14:textId="345275FD" w:rsidR="000D4A68" w:rsidRDefault="000D4A68" w:rsidP="00A51A4A">
      <w:pPr>
        <w:spacing w:after="0" w:line="276" w:lineRule="auto"/>
        <w:jc w:val="center"/>
        <w:rPr>
          <w:rFonts w:ascii="Helvetica" w:hAnsi="Helvetica" w:cs="Helvetica"/>
          <w:b/>
          <w:bCs/>
        </w:rPr>
      </w:pPr>
    </w:p>
    <w:p w14:paraId="5A853D8E" w14:textId="77777777" w:rsidR="003C08F6" w:rsidRDefault="003C08F6" w:rsidP="00A51A4A">
      <w:pPr>
        <w:spacing w:after="0" w:line="276" w:lineRule="auto"/>
        <w:jc w:val="center"/>
        <w:rPr>
          <w:rFonts w:ascii="Helvetica" w:hAnsi="Helvetica" w:cs="Helvetica"/>
          <w:b/>
          <w:bCs/>
        </w:rPr>
      </w:pPr>
    </w:p>
    <w:bookmarkEnd w:id="3"/>
    <w:p w14:paraId="7D11921E" w14:textId="77777777" w:rsidR="003C08F6" w:rsidRPr="0030746C" w:rsidRDefault="003C08F6" w:rsidP="00A51A4A">
      <w:pPr>
        <w:spacing w:line="276" w:lineRule="auto"/>
        <w:jc w:val="both"/>
      </w:pPr>
    </w:p>
    <w:p w14:paraId="7498B878" w14:textId="77777777" w:rsidR="000D4A68" w:rsidRPr="0088109B" w:rsidRDefault="000D4A68" w:rsidP="00A51A4A">
      <w:pPr>
        <w:pStyle w:val="Listaszerbekezds"/>
        <w:spacing w:after="0"/>
        <w:ind w:left="1428"/>
        <w:jc w:val="both"/>
        <w:rPr>
          <w:rFonts w:ascii="Helvetica" w:hAnsi="Helvetica" w:cs="Helvetica"/>
          <w:b/>
          <w:bCs/>
        </w:rPr>
      </w:pPr>
    </w:p>
    <w:p w14:paraId="525A3B94" w14:textId="3AE98AC3" w:rsidR="002346FF" w:rsidRDefault="00F91420" w:rsidP="004104B7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88109B">
        <w:rPr>
          <w:rFonts w:ascii="Helvetica" w:hAnsi="Helvetica" w:cs="Helvetica"/>
          <w:b/>
          <w:bCs/>
          <w:sz w:val="24"/>
          <w:szCs w:val="24"/>
          <w:u w:val="single"/>
        </w:rPr>
        <w:t>Megtérülés a</w:t>
      </w:r>
      <w:r w:rsidR="00FC104C" w:rsidRPr="0088109B">
        <w:rPr>
          <w:rFonts w:ascii="Helvetica" w:hAnsi="Helvetica" w:cs="Helvetica"/>
          <w:b/>
          <w:bCs/>
          <w:sz w:val="24"/>
          <w:szCs w:val="24"/>
          <w:u w:val="single"/>
        </w:rPr>
        <w:t xml:space="preserve"> Szabadtéri Játékok által generált jegybevételen túli költések</w:t>
      </w:r>
      <w:bookmarkStart w:id="4" w:name="_Hlk487449863"/>
      <w:r w:rsidR="000D4A68" w:rsidRPr="0088109B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353C1B46" w14:textId="77777777" w:rsidR="004104B7" w:rsidRPr="004104B7" w:rsidRDefault="004104B7" w:rsidP="004104B7">
      <w:pPr>
        <w:spacing w:after="0" w:line="360" w:lineRule="auto"/>
        <w:jc w:val="both"/>
        <w:rPr>
          <w:rFonts w:ascii="Helvetica" w:hAnsi="Helvetica" w:cs="Helvetica"/>
        </w:rPr>
      </w:pPr>
      <w:r w:rsidRPr="004104B7">
        <w:rPr>
          <w:rFonts w:ascii="Helvetica" w:hAnsi="Helvetica" w:cs="Helvetica"/>
        </w:rPr>
        <w:t>Mint mindig, most is hangsúlyozzuk: a kulturális marketing gyakorlatának egyik nehézsége, hogy a kulturális-művészeti befektetések megtérülést rendkívül nehéz pontosan kalkulálni. A kulturális marketingben ugyanis a megtérülés rendre nem azon a területen történik, ahol a befektetés volt. A színházi előadás által kiváltott katarzis csak akkor „</w:t>
      </w:r>
      <w:r w:rsidRPr="004104B7">
        <w:rPr>
          <w:rFonts w:ascii="Helvetica" w:hAnsi="Helvetica" w:cs="Helvetica"/>
          <w:i/>
        </w:rPr>
        <w:t>térül meg</w:t>
      </w:r>
      <w:r w:rsidRPr="004104B7">
        <w:rPr>
          <w:rFonts w:ascii="Helvetica" w:hAnsi="Helvetica" w:cs="Helvetica"/>
        </w:rPr>
        <w:t>”, ha a néző a közös élményt képes saját kulturális nívója alapján dekódolni, önmagának értelmezi, és a tanulságokat saját mikrovilágában (életének emberi kapcsolataiban), és a maga módján hasznosítani is. Ez a folyamat természetesen mindig egyedi, ezért a közgazdaságtan és a marketing eszközeivel nem kalkulálható. Az sem, hogy egy adott színházi előadásnak – vagy egy filmnek, egy kiállításnak, egy hangversenynek – pontosan mekkora szerepe van abban, hogy a város polgárai igényesebbé válnak úgy környezetük rendben tartásában, mind hétköznapi viselkedésükben, és egymással való kapcsolataik minőségében. Hogy a művészetnek ebben szerepe van, azt egészen biztosan tudjuk, de hogy mérhető egységben mekkora, azt nem.</w:t>
      </w:r>
    </w:p>
    <w:p w14:paraId="7CFF8206" w14:textId="161CDABE" w:rsidR="002346FF" w:rsidRDefault="004104B7" w:rsidP="00A5496C">
      <w:pPr>
        <w:spacing w:line="360" w:lineRule="auto"/>
        <w:ind w:firstLine="426"/>
        <w:jc w:val="both"/>
        <w:rPr>
          <w:rFonts w:ascii="Helvetica" w:hAnsi="Helvetica" w:cs="Helvetica"/>
        </w:rPr>
      </w:pPr>
      <w:r w:rsidRPr="004104B7">
        <w:rPr>
          <w:rFonts w:ascii="Helvetica" w:hAnsi="Helvetica" w:cs="Helvetica"/>
        </w:rPr>
        <w:t>Ugyanakkor azt is tudjuk, hogy a kulturális beruházás komoly gazdaságélénkítő tényező. Már többször idéztük, hogy a második világháború utáni újjáépítések során vették észre a közgazdászok, hogy „x” dologi tőkeberuházás nem a számított és várt „y” eredményt hozza, hanem annál jóval nagyobbat, „y+z” összeget. Mi ez a</w:t>
      </w:r>
      <w:r w:rsidRPr="004104B7">
        <w:rPr>
          <w:rFonts w:ascii="Helvetica" w:hAnsi="Helvetica" w:cs="Helvetica"/>
          <w:i/>
        </w:rPr>
        <w:t xml:space="preserve"> </w:t>
      </w:r>
      <w:r w:rsidRPr="004104B7">
        <w:rPr>
          <w:rFonts w:ascii="Helvetica" w:hAnsi="Helvetica" w:cs="Helvetica"/>
        </w:rPr>
        <w:t>„+z”?</w:t>
      </w:r>
      <w:r w:rsidRPr="004104B7">
        <w:rPr>
          <w:rFonts w:ascii="Helvetica" w:hAnsi="Helvetica" w:cs="Helvetica"/>
          <w:i/>
        </w:rPr>
        <w:t xml:space="preserve"> </w:t>
      </w:r>
      <w:r w:rsidRPr="004104B7">
        <w:rPr>
          <w:rFonts w:ascii="Helvetica" w:hAnsi="Helvetica" w:cs="Helvetica"/>
        </w:rPr>
        <w:t>Vagyis:</w:t>
      </w:r>
      <w:r w:rsidRPr="004104B7">
        <w:rPr>
          <w:rFonts w:ascii="Helvetica" w:hAnsi="Helvetica" w:cs="Helvetica"/>
          <w:i/>
        </w:rPr>
        <w:t xml:space="preserve"> mi lehet a növekedés oka?</w:t>
      </w:r>
      <w:r w:rsidRPr="004104B7">
        <w:rPr>
          <w:rFonts w:ascii="Helvetica" w:hAnsi="Helvetica" w:cs="Helvetica"/>
        </w:rPr>
        <w:t xml:space="preserve"> – tették fel a kérdést. A témával a Nobel-díjas Theodore Schultz közgazdász professzor foglalkozott, és arra az eredményre jutott, hogy a többletet </w:t>
      </w:r>
      <w:r w:rsidRPr="004104B7">
        <w:rPr>
          <w:rFonts w:ascii="Helvetica" w:hAnsi="Helvetica" w:cs="Helvetica"/>
          <w:i/>
        </w:rPr>
        <w:t>a humán tőke</w:t>
      </w:r>
      <w:r w:rsidRPr="004104B7">
        <w:rPr>
          <w:rFonts w:ascii="Helvetica" w:hAnsi="Helvetica" w:cs="Helvetica"/>
        </w:rPr>
        <w:t xml:space="preserve"> </w:t>
      </w:r>
      <w:r w:rsidRPr="004104B7">
        <w:rPr>
          <w:rFonts w:ascii="Helvetica" w:hAnsi="Helvetica" w:cs="Helvetica"/>
          <w:i/>
        </w:rPr>
        <w:t>minősége</w:t>
      </w:r>
      <w:r w:rsidRPr="004104B7">
        <w:rPr>
          <w:rFonts w:ascii="Helvetica" w:hAnsi="Helvetica" w:cs="Helvetica"/>
        </w:rPr>
        <w:t xml:space="preserve"> eredményezte. Egészen pontosan a munkaerőbe előzetesen fektetett tudás-, és kulturális beruházás.</w:t>
      </w:r>
      <w:r w:rsidRPr="004104B7">
        <w:rPr>
          <w:rStyle w:val="Lbjegyzet-hivatkozs"/>
          <w:rFonts w:ascii="Helvetica" w:hAnsi="Helvetica" w:cs="Helvetica"/>
        </w:rPr>
        <w:footnoteReference w:id="1"/>
      </w:r>
    </w:p>
    <w:p w14:paraId="75B6E262" w14:textId="6BEA77B3" w:rsidR="00061310" w:rsidRPr="00A5496C" w:rsidRDefault="004104B7" w:rsidP="004104B7">
      <w:pPr>
        <w:pStyle w:val="NormlWeb"/>
        <w:spacing w:line="360" w:lineRule="auto"/>
        <w:rPr>
          <w:rFonts w:ascii="Helvetica" w:hAnsi="Helvetica" w:cs="Helvetica"/>
          <w:i/>
          <w:iCs/>
          <w:sz w:val="22"/>
          <w:szCs w:val="22"/>
        </w:rPr>
      </w:pPr>
      <w:r w:rsidRPr="00A5496C">
        <w:rPr>
          <w:i/>
          <w:i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87B63FA" wp14:editId="75A47033">
            <wp:simplePos x="0" y="0"/>
            <wp:positionH relativeFrom="column">
              <wp:posOffset>-31322</wp:posOffset>
            </wp:positionH>
            <wp:positionV relativeFrom="paragraph">
              <wp:posOffset>558800</wp:posOffset>
            </wp:positionV>
            <wp:extent cx="6378575" cy="1829435"/>
            <wp:effectExtent l="0" t="0" r="3175" b="18415"/>
            <wp:wrapSquare wrapText="bothSides"/>
            <wp:docPr id="66" name="Diagram 66">
              <a:extLst xmlns:a="http://schemas.openxmlformats.org/drawingml/2006/main">
                <a:ext uri="{FF2B5EF4-FFF2-40B4-BE49-F238E27FC236}">
                  <a16:creationId xmlns:a16="http://schemas.microsoft.com/office/drawing/2014/main" id="{408A6CFA-C3DF-495D-8DCE-9CB4DD588D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96C">
        <w:rPr>
          <w:rFonts w:ascii="Helvetica" w:hAnsi="Helvetica" w:cs="Helvetica"/>
          <w:i/>
          <w:iCs/>
          <w:sz w:val="22"/>
          <w:szCs w:val="22"/>
        </w:rPr>
        <w:t>A jegyvásárlás által generált helyi költés összegét úgy kapjuk meg, hogy a valós bruttó jegybevétel összegét szorozzuk az addicionális szorzóval.</w:t>
      </w:r>
    </w:p>
    <w:p w14:paraId="29237A3B" w14:textId="15575FEB" w:rsidR="00BF4829" w:rsidRPr="00A5496C" w:rsidRDefault="006B313B" w:rsidP="004104B7">
      <w:pPr>
        <w:spacing w:after="0" w:line="240" w:lineRule="auto"/>
        <w:jc w:val="center"/>
        <w:rPr>
          <w:rFonts w:ascii="Helvetica" w:hAnsi="Helvetica" w:cs="Helvetica"/>
          <w:i/>
          <w:iCs/>
          <w:sz w:val="20"/>
          <w:szCs w:val="20"/>
        </w:rPr>
      </w:pPr>
      <w:r w:rsidRPr="00A5496C">
        <w:rPr>
          <w:rFonts w:ascii="Helvetica" w:hAnsi="Helvetica" w:cs="Helvetica"/>
          <w:i/>
          <w:iCs/>
          <w:sz w:val="20"/>
          <w:szCs w:val="20"/>
        </w:rPr>
        <w:t>b</w:t>
      </w:r>
      <w:r w:rsidR="00351D6C" w:rsidRPr="00A5496C">
        <w:rPr>
          <w:rFonts w:ascii="Helvetica" w:hAnsi="Helvetica" w:cs="Helvetica"/>
          <w:i/>
          <w:iCs/>
          <w:sz w:val="20"/>
          <w:szCs w:val="20"/>
        </w:rPr>
        <w:t>ruttó</w:t>
      </w:r>
      <w:r w:rsidR="00DC0FE9" w:rsidRPr="00A5496C">
        <w:rPr>
          <w:rFonts w:ascii="Helvetica" w:hAnsi="Helvetica" w:cs="Helvetica"/>
          <w:i/>
          <w:iCs/>
          <w:sz w:val="20"/>
          <w:szCs w:val="20"/>
        </w:rPr>
        <w:t xml:space="preserve"> MFt-ban</w:t>
      </w:r>
    </w:p>
    <w:bookmarkEnd w:id="4"/>
    <w:p w14:paraId="1362C1B7" w14:textId="3B123951" w:rsidR="00F91420" w:rsidRPr="00A5496C" w:rsidRDefault="00F91420" w:rsidP="0088109B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3B8A719B" w14:textId="49350DE4" w:rsidR="00F91420" w:rsidRPr="00A5496C" w:rsidRDefault="00F91420" w:rsidP="0088109B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A5496C">
        <w:rPr>
          <w:rFonts w:ascii="Helvetica" w:hAnsi="Helvetica" w:cs="Helvetica"/>
          <w:b/>
          <w:bCs/>
          <w:sz w:val="24"/>
          <w:szCs w:val="24"/>
          <w:u w:val="single"/>
        </w:rPr>
        <w:t>Megtérülés:</w:t>
      </w:r>
    </w:p>
    <w:p w14:paraId="3EB81B64" w14:textId="34EEA81D" w:rsidR="00F766F5" w:rsidRDefault="00F766F5" w:rsidP="0088109B">
      <w:pPr>
        <w:spacing w:line="360" w:lineRule="auto"/>
        <w:jc w:val="both"/>
        <w:rPr>
          <w:rFonts w:ascii="Helvetica" w:hAnsi="Helvetica" w:cs="Helvetica"/>
        </w:rPr>
      </w:pPr>
      <w:r w:rsidRPr="00F5582E">
        <w:rPr>
          <w:rFonts w:ascii="Helvetica" w:hAnsi="Helvetica" w:cs="Helvetica"/>
        </w:rPr>
        <w:t>A Szegedi Szabadtéri Játékok pénzügyi teljesítményének</w:t>
      </w:r>
      <w:r w:rsidR="00E43C67" w:rsidRPr="00F5582E">
        <w:rPr>
          <w:rFonts w:ascii="Helvetica" w:hAnsi="Helvetica" w:cs="Helvetica"/>
        </w:rPr>
        <w:t>-</w:t>
      </w:r>
      <w:r w:rsidRPr="00F5582E">
        <w:rPr>
          <w:rFonts w:ascii="Helvetica" w:hAnsi="Helvetica" w:cs="Helvetica"/>
        </w:rPr>
        <w:t xml:space="preserve"> eredményének vizsgálata: A Fenntartó </w:t>
      </w:r>
      <w:r w:rsidRPr="00F5582E">
        <w:rPr>
          <w:rFonts w:ascii="Helvetica" w:hAnsi="Helvetica" w:cs="Helvetica"/>
          <w:b/>
          <w:bCs/>
        </w:rPr>
        <w:t>Szeged Város 290 millió Ft alap működési célú befektetésével szemben</w:t>
      </w:r>
      <w:r w:rsidRPr="00F5582E">
        <w:rPr>
          <w:rFonts w:ascii="Helvetica" w:hAnsi="Helvetica" w:cs="Helvetica"/>
        </w:rPr>
        <w:t xml:space="preserve"> a Játékok jegy- és pályázati bevételeiből 920 millió Ft-ot realizált és továbbá 495 Millió Ft. addicionális költést generált – </w:t>
      </w:r>
      <w:r w:rsidRPr="00F5582E">
        <w:rPr>
          <w:rFonts w:ascii="Helvetica" w:hAnsi="Helvetica" w:cs="Helvetica"/>
          <w:b/>
          <w:bCs/>
        </w:rPr>
        <w:t>mindez összesen</w:t>
      </w:r>
      <w:r w:rsidRPr="00F5582E">
        <w:rPr>
          <w:rFonts w:ascii="Helvetica" w:hAnsi="Helvetica" w:cs="Helvetica"/>
        </w:rPr>
        <w:t xml:space="preserve"> </w:t>
      </w:r>
      <w:r w:rsidRPr="00F5582E">
        <w:rPr>
          <w:rFonts w:ascii="Helvetica" w:hAnsi="Helvetica" w:cs="Helvetica"/>
          <w:b/>
          <w:bCs/>
        </w:rPr>
        <w:t>1 milliárd 415</w:t>
      </w:r>
      <w:r w:rsidR="000D7D53">
        <w:rPr>
          <w:rFonts w:ascii="Helvetica" w:hAnsi="Helvetica" w:cs="Helvetica"/>
          <w:b/>
          <w:bCs/>
        </w:rPr>
        <w:t xml:space="preserve"> millió</w:t>
      </w:r>
      <w:r w:rsidRPr="00F5582E">
        <w:rPr>
          <w:rFonts w:ascii="Helvetica" w:hAnsi="Helvetica" w:cs="Helvetica"/>
          <w:b/>
          <w:bCs/>
        </w:rPr>
        <w:t xml:space="preserve"> Ft</w:t>
      </w:r>
      <w:r w:rsidRPr="00F5582E">
        <w:rPr>
          <w:rFonts w:ascii="Helvetica" w:hAnsi="Helvetica" w:cs="Helvetica"/>
        </w:rPr>
        <w:t xml:space="preserve">-ot jelent Szegednek amellett, hogy a Játékok </w:t>
      </w:r>
      <w:r w:rsidRPr="00F5582E">
        <w:rPr>
          <w:rFonts w:ascii="Helvetica" w:hAnsi="Helvetica" w:cs="Helvetica"/>
          <w:b/>
          <w:bCs/>
        </w:rPr>
        <w:t>európai színvonalú kulturális missziót teljesít.</w:t>
      </w:r>
    </w:p>
    <w:p w14:paraId="6974B549" w14:textId="3D5B9A0C" w:rsidR="00A5496C" w:rsidRDefault="00A5496C" w:rsidP="0088109B">
      <w:pPr>
        <w:spacing w:line="360" w:lineRule="auto"/>
        <w:jc w:val="both"/>
        <w:rPr>
          <w:rFonts w:ascii="Helvetica" w:hAnsi="Helvetica" w:cs="Helvetica"/>
        </w:rPr>
      </w:pPr>
    </w:p>
    <w:p w14:paraId="7E3180BE" w14:textId="77777777" w:rsidR="00A5496C" w:rsidRPr="00F5582E" w:rsidRDefault="00A5496C" w:rsidP="0088109B">
      <w:pPr>
        <w:spacing w:line="360" w:lineRule="auto"/>
        <w:jc w:val="both"/>
        <w:rPr>
          <w:rFonts w:ascii="Helvetica" w:hAnsi="Helvetica" w:cs="Helvetica"/>
        </w:rPr>
      </w:pPr>
    </w:p>
    <w:p w14:paraId="1F0A0CFF" w14:textId="283FF687" w:rsidR="00707224" w:rsidRDefault="00F766F5" w:rsidP="004104B7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7A1B71C" wp14:editId="7C5C7144">
            <wp:extent cx="4667250" cy="2572281"/>
            <wp:effectExtent l="0" t="0" r="0" b="0"/>
            <wp:docPr id="10" name="Kép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51" cy="2599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7224" w:rsidSect="00A51A4A">
      <w:footerReference w:type="even" r:id="rId29"/>
      <w:footerReference w:type="default" r:id="rId30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21E76" w14:textId="77777777" w:rsidR="00AC2465" w:rsidRDefault="00AC2465" w:rsidP="00E61355">
      <w:pPr>
        <w:spacing w:after="0" w:line="240" w:lineRule="auto"/>
      </w:pPr>
      <w:r>
        <w:separator/>
      </w:r>
    </w:p>
  </w:endnote>
  <w:endnote w:type="continuationSeparator" w:id="0">
    <w:p w14:paraId="34C1D7DA" w14:textId="77777777" w:rsidR="00AC2465" w:rsidRDefault="00AC2465" w:rsidP="00E6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4999362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1275306" w14:textId="720D7207" w:rsidR="00A51A4A" w:rsidRDefault="00A51A4A" w:rsidP="00FB34F3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0C4A8043" w14:textId="77777777" w:rsidR="00A51A4A" w:rsidRDefault="00A51A4A" w:rsidP="00A51A4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30015681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0E7F6E9" w14:textId="047AE03A" w:rsidR="00A51A4A" w:rsidRDefault="00A51A4A" w:rsidP="00FB34F3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13E55B30" w14:textId="77777777" w:rsidR="00A51A4A" w:rsidRDefault="00A51A4A" w:rsidP="00A51A4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7D785" w14:textId="77777777" w:rsidR="00AC2465" w:rsidRDefault="00AC2465" w:rsidP="00E61355">
      <w:pPr>
        <w:spacing w:after="0" w:line="240" w:lineRule="auto"/>
      </w:pPr>
      <w:r>
        <w:separator/>
      </w:r>
    </w:p>
  </w:footnote>
  <w:footnote w:type="continuationSeparator" w:id="0">
    <w:p w14:paraId="21CF90D5" w14:textId="77777777" w:rsidR="00AC2465" w:rsidRDefault="00AC2465" w:rsidP="00E61355">
      <w:pPr>
        <w:spacing w:after="0" w:line="240" w:lineRule="auto"/>
      </w:pPr>
      <w:r>
        <w:continuationSeparator/>
      </w:r>
    </w:p>
  </w:footnote>
  <w:footnote w:id="1">
    <w:p w14:paraId="384611A4" w14:textId="77777777" w:rsidR="004104B7" w:rsidRPr="00C3502A" w:rsidRDefault="004104B7" w:rsidP="004104B7">
      <w:pPr>
        <w:pStyle w:val="Lbjegyzetszveg"/>
        <w:spacing w:line="276" w:lineRule="auto"/>
        <w:ind w:left="142" w:hanging="142"/>
      </w:pPr>
      <w:r>
        <w:rPr>
          <w:rStyle w:val="Lbjegyzet-hivatkozs"/>
        </w:rPr>
        <w:footnoteRef/>
      </w:r>
      <w:r>
        <w:t xml:space="preserve"> </w:t>
      </w:r>
      <w:r w:rsidRPr="00C3502A">
        <w:t xml:space="preserve">Theodore Schultz: </w:t>
      </w:r>
      <w:r w:rsidRPr="00C3502A">
        <w:rPr>
          <w:i/>
        </w:rPr>
        <w:t>„Beruházás az emberi tőkébe’</w:t>
      </w:r>
      <w:r w:rsidRPr="00C3502A">
        <w:t>”</w:t>
      </w:r>
    </w:p>
    <w:p w14:paraId="731F80CA" w14:textId="77777777" w:rsidR="004104B7" w:rsidRPr="00C3502A" w:rsidRDefault="004104B7" w:rsidP="004104B7">
      <w:pPr>
        <w:pStyle w:val="Lbjegyzetszveg"/>
        <w:spacing w:line="276" w:lineRule="auto"/>
        <w:ind w:left="142" w:hanging="142"/>
        <w:jc w:val="both"/>
      </w:pPr>
      <w:r>
        <w:t xml:space="preserve">   </w:t>
      </w:r>
      <w:r w:rsidRPr="00C3502A">
        <w:t>In.:</w:t>
      </w:r>
      <w:r w:rsidRPr="00C3502A">
        <w:rPr>
          <w:i/>
        </w:rPr>
        <w:t xml:space="preserve"> Kulturális tőkeelméletek történeti aspektusai</w:t>
      </w:r>
      <w:r w:rsidRPr="00C3502A">
        <w:t>, SZTE JGYTK, Andragógia szak, Oktatási Segédanyag,</w:t>
      </w:r>
      <w:r>
        <w:t xml:space="preserve"> </w:t>
      </w:r>
      <w:r w:rsidRPr="00C3502A">
        <w:t>szerkesztette: Dr. habil. Máté Zsuzsanna (Szeged, 2010.)</w:t>
      </w:r>
    </w:p>
    <w:p w14:paraId="1A9CB8C6" w14:textId="77777777" w:rsidR="004104B7" w:rsidRDefault="004104B7" w:rsidP="004104B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245E"/>
    <w:multiLevelType w:val="hybridMultilevel"/>
    <w:tmpl w:val="332A40EE"/>
    <w:lvl w:ilvl="0" w:tplc="67886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CC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80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8F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67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A9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0A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23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03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73817"/>
    <w:multiLevelType w:val="hybridMultilevel"/>
    <w:tmpl w:val="F6800FD6"/>
    <w:lvl w:ilvl="0" w:tplc="FCC81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C8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E2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C1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0B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E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CB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A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217DA"/>
    <w:multiLevelType w:val="hybridMultilevel"/>
    <w:tmpl w:val="CDB4F35C"/>
    <w:lvl w:ilvl="0" w:tplc="53E6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4C49"/>
    <w:multiLevelType w:val="hybridMultilevel"/>
    <w:tmpl w:val="8B68B612"/>
    <w:lvl w:ilvl="0" w:tplc="8334C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A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68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A5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64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65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82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C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A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813E0C"/>
    <w:multiLevelType w:val="hybridMultilevel"/>
    <w:tmpl w:val="76E0147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C0599A"/>
    <w:multiLevelType w:val="hybridMultilevel"/>
    <w:tmpl w:val="3DB24910"/>
    <w:lvl w:ilvl="0" w:tplc="6D06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4B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C7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A5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A9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D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CE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0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8F35F8"/>
    <w:multiLevelType w:val="hybridMultilevel"/>
    <w:tmpl w:val="55561DAC"/>
    <w:lvl w:ilvl="0" w:tplc="C0087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2C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D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85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8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C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0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C6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A04CB3"/>
    <w:multiLevelType w:val="hybridMultilevel"/>
    <w:tmpl w:val="70DE5DB4"/>
    <w:lvl w:ilvl="0" w:tplc="54F2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C6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4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C8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64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4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8B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6D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2B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5E5242"/>
    <w:multiLevelType w:val="hybridMultilevel"/>
    <w:tmpl w:val="E5AEBF54"/>
    <w:lvl w:ilvl="0" w:tplc="733C2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1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46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E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26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AD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E2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0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2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372306"/>
    <w:multiLevelType w:val="hybridMultilevel"/>
    <w:tmpl w:val="C52CAA88"/>
    <w:lvl w:ilvl="0" w:tplc="D234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6F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E8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84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E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6D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05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EF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E27168"/>
    <w:multiLevelType w:val="hybridMultilevel"/>
    <w:tmpl w:val="07A8F7CE"/>
    <w:lvl w:ilvl="0" w:tplc="1F60F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A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E0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CB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21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62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2A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63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6F1B9D"/>
    <w:multiLevelType w:val="hybridMultilevel"/>
    <w:tmpl w:val="3B08FD60"/>
    <w:lvl w:ilvl="0" w:tplc="D2A24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E2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CF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8D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88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E7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47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05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E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7D2720"/>
    <w:multiLevelType w:val="hybridMultilevel"/>
    <w:tmpl w:val="4E72CC44"/>
    <w:lvl w:ilvl="0" w:tplc="F0F6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A6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2E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E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F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26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05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CA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EA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0A5D21"/>
    <w:multiLevelType w:val="hybridMultilevel"/>
    <w:tmpl w:val="2CE83BCA"/>
    <w:lvl w:ilvl="0" w:tplc="2EAA8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41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C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E0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6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D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C6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6D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8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FC4CAD"/>
    <w:multiLevelType w:val="hybridMultilevel"/>
    <w:tmpl w:val="9D3C7CE0"/>
    <w:lvl w:ilvl="0" w:tplc="2EAE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40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43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A4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6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7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85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85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E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0160FD"/>
    <w:multiLevelType w:val="hybridMultilevel"/>
    <w:tmpl w:val="332204B2"/>
    <w:lvl w:ilvl="0" w:tplc="6F663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A2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E3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0B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3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E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08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C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EA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15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76"/>
    <w:rsid w:val="000054AF"/>
    <w:rsid w:val="00006E7E"/>
    <w:rsid w:val="00013C77"/>
    <w:rsid w:val="0002034C"/>
    <w:rsid w:val="000368F7"/>
    <w:rsid w:val="00043C00"/>
    <w:rsid w:val="000448B1"/>
    <w:rsid w:val="00057583"/>
    <w:rsid w:val="00061310"/>
    <w:rsid w:val="00085C1A"/>
    <w:rsid w:val="00091599"/>
    <w:rsid w:val="0009784A"/>
    <w:rsid w:val="000C129B"/>
    <w:rsid w:val="000C2C32"/>
    <w:rsid w:val="000D4A68"/>
    <w:rsid w:val="000D7D53"/>
    <w:rsid w:val="000F2D6D"/>
    <w:rsid w:val="001264C9"/>
    <w:rsid w:val="00130769"/>
    <w:rsid w:val="00133913"/>
    <w:rsid w:val="00136576"/>
    <w:rsid w:val="00144392"/>
    <w:rsid w:val="00170DE2"/>
    <w:rsid w:val="00182675"/>
    <w:rsid w:val="001979AE"/>
    <w:rsid w:val="001A0BA2"/>
    <w:rsid w:val="001A0DE7"/>
    <w:rsid w:val="001A5392"/>
    <w:rsid w:val="001D0F7A"/>
    <w:rsid w:val="001D55B9"/>
    <w:rsid w:val="001D77F6"/>
    <w:rsid w:val="001E0F21"/>
    <w:rsid w:val="001F45FB"/>
    <w:rsid w:val="00221EDF"/>
    <w:rsid w:val="002346FF"/>
    <w:rsid w:val="00241069"/>
    <w:rsid w:val="00264449"/>
    <w:rsid w:val="0027481E"/>
    <w:rsid w:val="0028409F"/>
    <w:rsid w:val="00291D4B"/>
    <w:rsid w:val="002A0485"/>
    <w:rsid w:val="002E1D3D"/>
    <w:rsid w:val="002E78B3"/>
    <w:rsid w:val="003067E6"/>
    <w:rsid w:val="00316EFE"/>
    <w:rsid w:val="0035035B"/>
    <w:rsid w:val="00351D6C"/>
    <w:rsid w:val="0036239D"/>
    <w:rsid w:val="00391C3E"/>
    <w:rsid w:val="003A0E6E"/>
    <w:rsid w:val="003C08F6"/>
    <w:rsid w:val="003C61A3"/>
    <w:rsid w:val="003F0D17"/>
    <w:rsid w:val="003F3025"/>
    <w:rsid w:val="003F61F4"/>
    <w:rsid w:val="00403147"/>
    <w:rsid w:val="004101AF"/>
    <w:rsid w:val="004104B7"/>
    <w:rsid w:val="004132C6"/>
    <w:rsid w:val="004617B9"/>
    <w:rsid w:val="0046485F"/>
    <w:rsid w:val="004819C8"/>
    <w:rsid w:val="004916EB"/>
    <w:rsid w:val="004935F8"/>
    <w:rsid w:val="004B371D"/>
    <w:rsid w:val="004C5B3B"/>
    <w:rsid w:val="004D105A"/>
    <w:rsid w:val="004F22B2"/>
    <w:rsid w:val="004F28FC"/>
    <w:rsid w:val="00512C46"/>
    <w:rsid w:val="00514C72"/>
    <w:rsid w:val="00522514"/>
    <w:rsid w:val="00536CEA"/>
    <w:rsid w:val="00552767"/>
    <w:rsid w:val="0056599B"/>
    <w:rsid w:val="005876F7"/>
    <w:rsid w:val="00590B3A"/>
    <w:rsid w:val="005B0CBD"/>
    <w:rsid w:val="005D04AB"/>
    <w:rsid w:val="0060066F"/>
    <w:rsid w:val="006514DE"/>
    <w:rsid w:val="00671334"/>
    <w:rsid w:val="00694A46"/>
    <w:rsid w:val="006B313B"/>
    <w:rsid w:val="006C0482"/>
    <w:rsid w:val="006D33C2"/>
    <w:rsid w:val="006D74C3"/>
    <w:rsid w:val="006F3DA2"/>
    <w:rsid w:val="00707066"/>
    <w:rsid w:val="00707224"/>
    <w:rsid w:val="00722C59"/>
    <w:rsid w:val="00730219"/>
    <w:rsid w:val="007510CC"/>
    <w:rsid w:val="0075681D"/>
    <w:rsid w:val="00757FB7"/>
    <w:rsid w:val="007934C1"/>
    <w:rsid w:val="007B0BEF"/>
    <w:rsid w:val="007C72BA"/>
    <w:rsid w:val="007D63D5"/>
    <w:rsid w:val="007E7A7E"/>
    <w:rsid w:val="007F602C"/>
    <w:rsid w:val="00806DAF"/>
    <w:rsid w:val="008154CA"/>
    <w:rsid w:val="00821375"/>
    <w:rsid w:val="008231C7"/>
    <w:rsid w:val="00830B19"/>
    <w:rsid w:val="008467CF"/>
    <w:rsid w:val="00852B18"/>
    <w:rsid w:val="00874401"/>
    <w:rsid w:val="00874E5C"/>
    <w:rsid w:val="0088109B"/>
    <w:rsid w:val="008851C0"/>
    <w:rsid w:val="008B25BA"/>
    <w:rsid w:val="008D1340"/>
    <w:rsid w:val="008E706D"/>
    <w:rsid w:val="008F2329"/>
    <w:rsid w:val="00914F7B"/>
    <w:rsid w:val="00923BC0"/>
    <w:rsid w:val="009524BC"/>
    <w:rsid w:val="009A6C5E"/>
    <w:rsid w:val="00A065AD"/>
    <w:rsid w:val="00A10661"/>
    <w:rsid w:val="00A108EC"/>
    <w:rsid w:val="00A20352"/>
    <w:rsid w:val="00A21F34"/>
    <w:rsid w:val="00A32ED2"/>
    <w:rsid w:val="00A40899"/>
    <w:rsid w:val="00A51A4A"/>
    <w:rsid w:val="00A5496C"/>
    <w:rsid w:val="00A55550"/>
    <w:rsid w:val="00A5693E"/>
    <w:rsid w:val="00A718A7"/>
    <w:rsid w:val="00A8781B"/>
    <w:rsid w:val="00A92708"/>
    <w:rsid w:val="00AA118A"/>
    <w:rsid w:val="00AC2465"/>
    <w:rsid w:val="00AF3E0A"/>
    <w:rsid w:val="00B17862"/>
    <w:rsid w:val="00B267CC"/>
    <w:rsid w:val="00B33FD3"/>
    <w:rsid w:val="00B37086"/>
    <w:rsid w:val="00B44B1A"/>
    <w:rsid w:val="00B622A6"/>
    <w:rsid w:val="00B77E96"/>
    <w:rsid w:val="00B9643C"/>
    <w:rsid w:val="00BC5C14"/>
    <w:rsid w:val="00BC6D36"/>
    <w:rsid w:val="00BD7464"/>
    <w:rsid w:val="00BE0FEA"/>
    <w:rsid w:val="00BE70FD"/>
    <w:rsid w:val="00BF4829"/>
    <w:rsid w:val="00C26FBF"/>
    <w:rsid w:val="00C3508F"/>
    <w:rsid w:val="00C92D44"/>
    <w:rsid w:val="00C94FC9"/>
    <w:rsid w:val="00CA0D71"/>
    <w:rsid w:val="00CA19C7"/>
    <w:rsid w:val="00CF5265"/>
    <w:rsid w:val="00D13962"/>
    <w:rsid w:val="00D201E5"/>
    <w:rsid w:val="00D33E22"/>
    <w:rsid w:val="00D50FBE"/>
    <w:rsid w:val="00D53512"/>
    <w:rsid w:val="00D632B5"/>
    <w:rsid w:val="00D65383"/>
    <w:rsid w:val="00DB00B0"/>
    <w:rsid w:val="00DB6A34"/>
    <w:rsid w:val="00DC0FE9"/>
    <w:rsid w:val="00DD1C4E"/>
    <w:rsid w:val="00DF3DDE"/>
    <w:rsid w:val="00E07582"/>
    <w:rsid w:val="00E159BA"/>
    <w:rsid w:val="00E26A42"/>
    <w:rsid w:val="00E43C67"/>
    <w:rsid w:val="00E61355"/>
    <w:rsid w:val="00E66C5F"/>
    <w:rsid w:val="00E85CFC"/>
    <w:rsid w:val="00E918C5"/>
    <w:rsid w:val="00EA32C8"/>
    <w:rsid w:val="00EB3BF1"/>
    <w:rsid w:val="00EB50C9"/>
    <w:rsid w:val="00ED4104"/>
    <w:rsid w:val="00EE245C"/>
    <w:rsid w:val="00EF4052"/>
    <w:rsid w:val="00F0076B"/>
    <w:rsid w:val="00F03F72"/>
    <w:rsid w:val="00F2608B"/>
    <w:rsid w:val="00F31C5B"/>
    <w:rsid w:val="00F346A8"/>
    <w:rsid w:val="00F5582E"/>
    <w:rsid w:val="00F64195"/>
    <w:rsid w:val="00F766F5"/>
    <w:rsid w:val="00F91420"/>
    <w:rsid w:val="00FB2ED3"/>
    <w:rsid w:val="00FC104C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9A72"/>
  <w15:chartTrackingRefBased/>
  <w15:docId w15:val="{D6969D7B-E74E-4388-84F4-FC69BB80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E61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85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13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bjegyzetszveg">
    <w:name w:val="footnote text"/>
    <w:aliases w:val=" Char,Char"/>
    <w:basedOn w:val="Norml"/>
    <w:link w:val="LbjegyzetszvegChar"/>
    <w:rsid w:val="00E61355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customStyle="1" w:styleId="LbjegyzetszvegChar">
    <w:name w:val="Lábjegyzetszöveg Char"/>
    <w:aliases w:val=" Char Char,Char Char"/>
    <w:basedOn w:val="Bekezdsalapbettpusa"/>
    <w:link w:val="Lbjegyzetszveg"/>
    <w:rsid w:val="00E61355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Lbjegyzet-hivatkozs">
    <w:name w:val="footnote reference"/>
    <w:basedOn w:val="Bekezdsalapbettpusa"/>
    <w:uiPriority w:val="99"/>
    <w:rsid w:val="00E61355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E85C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E85CFC"/>
    <w:pPr>
      <w:spacing w:after="200" w:line="276" w:lineRule="auto"/>
      <w:ind w:left="720"/>
      <w:contextualSpacing/>
    </w:pPr>
    <w:rPr>
      <w:rFonts w:eastAsiaTheme="minorEastAsia" w:cstheme="minorHAnsi"/>
      <w:lang w:eastAsia="hu-HU"/>
    </w:rPr>
  </w:style>
  <w:style w:type="character" w:styleId="Kiemels2">
    <w:name w:val="Strong"/>
    <w:basedOn w:val="Bekezdsalapbettpusa"/>
    <w:qFormat/>
    <w:rsid w:val="00E85CFC"/>
    <w:rPr>
      <w:b/>
      <w:bCs/>
    </w:rPr>
  </w:style>
  <w:style w:type="character" w:styleId="Kiemels">
    <w:name w:val="Emphasis"/>
    <w:basedOn w:val="Bekezdsalapbettpusa"/>
    <w:qFormat/>
    <w:rsid w:val="001264C9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6E7E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A5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1A4A"/>
  </w:style>
  <w:style w:type="character" w:styleId="Oldalszm">
    <w:name w:val="page number"/>
    <w:basedOn w:val="Bekezdsalapbettpusa"/>
    <w:uiPriority w:val="99"/>
    <w:semiHidden/>
    <w:unhideWhenUsed/>
    <w:rsid w:val="00A51A4A"/>
  </w:style>
  <w:style w:type="paragraph" w:styleId="NormlWeb">
    <w:name w:val="Normal (Web)"/>
    <w:basedOn w:val="Norml"/>
    <w:uiPriority w:val="99"/>
    <w:unhideWhenUsed/>
    <w:rsid w:val="002A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41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90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48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89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06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62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49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4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3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09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93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9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20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67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01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65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6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68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535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26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96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chart" Target="charts/chart1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svg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chart" Target="charts/chart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chart" Target="charts/chart5.xml"/><Relationship Id="rId28" Type="http://schemas.openxmlformats.org/officeDocument/2006/relationships/image" Target="media/image12.png"/><Relationship Id="rId10" Type="http://schemas.openxmlformats.org/officeDocument/2006/relationships/image" Target="media/image3.jp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ni\Documents\&#201;N\MUNKA\VIZSG&#193;LATOK\14.%20SAJ&#193;T_2019\MUNKA\1%20Excel-munkalap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hu-HU" b="1" baseline="0">
                <a:solidFill>
                  <a:schemeClr val="tx1"/>
                </a:solidFill>
              </a:rPr>
              <a:t>Vendégek és szegediek aránya a vizsgált szezonokban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Munka2!$A$5</c:f>
              <c:strCache>
                <c:ptCount val="1"/>
                <c:pt idx="0">
                  <c:v>vendégek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2"/>
              <c:layout>
                <c:manualLayout>
                  <c:x val="2.5504759666235749E-2"/>
                  <c:y val="-6.28322861285645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76-4C24-A67E-833693A07B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Munka2!$B$4:$N$4</c:f>
              <c:strCache>
                <c:ptCount val="13"/>
                <c:pt idx="0">
                  <c:v>2006-ban </c:v>
                </c:pt>
                <c:pt idx="1">
                  <c:v>2008-ban</c:v>
                </c:pt>
                <c:pt idx="2">
                  <c:v>2009-ben </c:v>
                </c:pt>
                <c:pt idx="3">
                  <c:v>2010-ben </c:v>
                </c:pt>
                <c:pt idx="4">
                  <c:v>2011-ben </c:v>
                </c:pt>
                <c:pt idx="5">
                  <c:v>2012-ben </c:v>
                </c:pt>
                <c:pt idx="6">
                  <c:v>2013-ban </c:v>
                </c:pt>
                <c:pt idx="7">
                  <c:v>2014-ben</c:v>
                </c:pt>
                <c:pt idx="8">
                  <c:v>2015-ben</c:v>
                </c:pt>
                <c:pt idx="9">
                  <c:v>2016-ban</c:v>
                </c:pt>
                <c:pt idx="10">
                  <c:v>2017-ben</c:v>
                </c:pt>
                <c:pt idx="11">
                  <c:v>2018-ban</c:v>
                </c:pt>
                <c:pt idx="12">
                  <c:v>2019-ben</c:v>
                </c:pt>
              </c:strCache>
            </c:strRef>
          </c:cat>
          <c:val>
            <c:numRef>
              <c:f>Munka2!$B$5:$N$5</c:f>
              <c:numCache>
                <c:formatCode>General</c:formatCode>
                <c:ptCount val="13"/>
                <c:pt idx="0">
                  <c:v>61</c:v>
                </c:pt>
                <c:pt idx="1">
                  <c:v>66</c:v>
                </c:pt>
                <c:pt idx="2">
                  <c:v>59</c:v>
                </c:pt>
                <c:pt idx="3">
                  <c:v>53</c:v>
                </c:pt>
                <c:pt idx="4">
                  <c:v>52</c:v>
                </c:pt>
                <c:pt idx="5">
                  <c:v>51</c:v>
                </c:pt>
                <c:pt idx="6">
                  <c:v>56</c:v>
                </c:pt>
                <c:pt idx="7">
                  <c:v>61.1</c:v>
                </c:pt>
                <c:pt idx="8">
                  <c:v>60.2</c:v>
                </c:pt>
                <c:pt idx="9">
                  <c:v>43.3</c:v>
                </c:pt>
                <c:pt idx="10">
                  <c:v>56.5</c:v>
                </c:pt>
                <c:pt idx="11">
                  <c:v>55.2</c:v>
                </c:pt>
                <c:pt idx="12">
                  <c:v>54.6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76-4C24-A67E-833693A07B9C}"/>
            </c:ext>
          </c:extLst>
        </c:ser>
        <c:ser>
          <c:idx val="1"/>
          <c:order val="1"/>
          <c:tx>
            <c:strRef>
              <c:f>Munka2!$A$6</c:f>
              <c:strCache>
                <c:ptCount val="1"/>
                <c:pt idx="0">
                  <c:v>helyiek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2"/>
              <c:layout>
                <c:manualLayout>
                  <c:x val="0"/>
                  <c:y val="-0.1208313194780087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76-4C24-A67E-833693A07B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Munka2!$B$4:$N$4</c:f>
              <c:strCache>
                <c:ptCount val="13"/>
                <c:pt idx="0">
                  <c:v>2006-ban </c:v>
                </c:pt>
                <c:pt idx="1">
                  <c:v>2008-ban</c:v>
                </c:pt>
                <c:pt idx="2">
                  <c:v>2009-ben </c:v>
                </c:pt>
                <c:pt idx="3">
                  <c:v>2010-ben </c:v>
                </c:pt>
                <c:pt idx="4">
                  <c:v>2011-ben </c:v>
                </c:pt>
                <c:pt idx="5">
                  <c:v>2012-ben </c:v>
                </c:pt>
                <c:pt idx="6">
                  <c:v>2013-ban </c:v>
                </c:pt>
                <c:pt idx="7">
                  <c:v>2014-ben</c:v>
                </c:pt>
                <c:pt idx="8">
                  <c:v>2015-ben</c:v>
                </c:pt>
                <c:pt idx="9">
                  <c:v>2016-ban</c:v>
                </c:pt>
                <c:pt idx="10">
                  <c:v>2017-ben</c:v>
                </c:pt>
                <c:pt idx="11">
                  <c:v>2018-ban</c:v>
                </c:pt>
                <c:pt idx="12">
                  <c:v>2019-ben</c:v>
                </c:pt>
              </c:strCache>
            </c:strRef>
          </c:cat>
          <c:val>
            <c:numRef>
              <c:f>Munka2!$B$6:$N$6</c:f>
              <c:numCache>
                <c:formatCode>General</c:formatCode>
                <c:ptCount val="13"/>
                <c:pt idx="0">
                  <c:v>39</c:v>
                </c:pt>
                <c:pt idx="1">
                  <c:v>34</c:v>
                </c:pt>
                <c:pt idx="2">
                  <c:v>41</c:v>
                </c:pt>
                <c:pt idx="3">
                  <c:v>47</c:v>
                </c:pt>
                <c:pt idx="4">
                  <c:v>48</c:v>
                </c:pt>
                <c:pt idx="5">
                  <c:v>49</c:v>
                </c:pt>
                <c:pt idx="6">
                  <c:v>44</c:v>
                </c:pt>
                <c:pt idx="7">
                  <c:v>38.9</c:v>
                </c:pt>
                <c:pt idx="8">
                  <c:v>39.800000000000011</c:v>
                </c:pt>
                <c:pt idx="9">
                  <c:v>56.7</c:v>
                </c:pt>
                <c:pt idx="10">
                  <c:v>43.5</c:v>
                </c:pt>
                <c:pt idx="11">
                  <c:v>44.8</c:v>
                </c:pt>
                <c:pt idx="12">
                  <c:v>45.4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76-4C24-A67E-833693A07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121472"/>
        <c:axId val="8613145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Munka2!$A$7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Munka2!$B$4:$N$4</c15:sqref>
                        </c15:formulaRef>
                      </c:ext>
                    </c:extLst>
                    <c:strCache>
                      <c:ptCount val="13"/>
                      <c:pt idx="0">
                        <c:v>2006-ban </c:v>
                      </c:pt>
                      <c:pt idx="1">
                        <c:v>2008-ban</c:v>
                      </c:pt>
                      <c:pt idx="2">
                        <c:v>2009-ben </c:v>
                      </c:pt>
                      <c:pt idx="3">
                        <c:v>2010-ben </c:v>
                      </c:pt>
                      <c:pt idx="4">
                        <c:v>2011-ben </c:v>
                      </c:pt>
                      <c:pt idx="5">
                        <c:v>2012-ben </c:v>
                      </c:pt>
                      <c:pt idx="6">
                        <c:v>2013-ban </c:v>
                      </c:pt>
                      <c:pt idx="7">
                        <c:v>2014-ben</c:v>
                      </c:pt>
                      <c:pt idx="8">
                        <c:v>2015-ben</c:v>
                      </c:pt>
                      <c:pt idx="9">
                        <c:v>2016-ban</c:v>
                      </c:pt>
                      <c:pt idx="10">
                        <c:v>2017-ben</c:v>
                      </c:pt>
                      <c:pt idx="11">
                        <c:v>2018-ban</c:v>
                      </c:pt>
                      <c:pt idx="12">
                        <c:v>2019-ben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Munka2!$B$7:$N$7</c15:sqref>
                        </c15:formulaRef>
                      </c:ext>
                    </c:extLst>
                    <c:numCache>
                      <c:formatCode>General</c:formatCode>
                      <c:ptCount val="1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DC76-4C24-A67E-833693A07B9C}"/>
                  </c:ext>
                </c:extLst>
              </c15:ser>
            </c15:filteredBarSeries>
          </c:ext>
        </c:extLst>
      </c:barChart>
      <c:catAx>
        <c:axId val="8612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6131456"/>
        <c:crosses val="autoZero"/>
        <c:auto val="1"/>
        <c:lblAlgn val="ctr"/>
        <c:lblOffset val="100"/>
        <c:noMultiLvlLbl val="0"/>
      </c:catAx>
      <c:valAx>
        <c:axId val="86131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8612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 baseline="0">
                <a:solidFill>
                  <a:schemeClr val="tx1"/>
                </a:solidFill>
              </a:rPr>
              <a:t>Igen</a:t>
            </a:r>
            <a:r>
              <a:rPr lang="hu-HU" b="1" i="0" baseline="0">
                <a:solidFill>
                  <a:schemeClr val="tx1"/>
                </a:solidFill>
              </a:rPr>
              <a:t>, kifejzetten az előadásért jöttem</a:t>
            </a:r>
            <a:endParaRPr lang="en-US" b="1" i="0" baseline="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Munka4!$A$2</c:f>
              <c:strCache>
                <c:ptCount val="1"/>
                <c:pt idx="0">
                  <c:v>Igen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Munka4!$B$1:$M$1</c:f>
              <c:numCache>
                <c:formatCode>General</c:formatCode>
                <c:ptCount val="12"/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Munka4!$B$2:$M$2</c:f>
              <c:numCache>
                <c:formatCode>General</c:formatCode>
                <c:ptCount val="12"/>
                <c:pt idx="1">
                  <c:v>86.2</c:v>
                </c:pt>
                <c:pt idx="2">
                  <c:v>83.8</c:v>
                </c:pt>
                <c:pt idx="3">
                  <c:v>82.1</c:v>
                </c:pt>
                <c:pt idx="4">
                  <c:v>84.8</c:v>
                </c:pt>
                <c:pt idx="5">
                  <c:v>81.599999999999994</c:v>
                </c:pt>
                <c:pt idx="6">
                  <c:v>90</c:v>
                </c:pt>
                <c:pt idx="7">
                  <c:v>89.3</c:v>
                </c:pt>
                <c:pt idx="8">
                  <c:v>86.9</c:v>
                </c:pt>
                <c:pt idx="9">
                  <c:v>88.8</c:v>
                </c:pt>
                <c:pt idx="10">
                  <c:v>90.5</c:v>
                </c:pt>
                <c:pt idx="11">
                  <c:v>82.9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7-4B71-B573-5490CB8BE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721280"/>
        <c:axId val="86722816"/>
      </c:barChart>
      <c:catAx>
        <c:axId val="8672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6722816"/>
        <c:crosses val="autoZero"/>
        <c:auto val="1"/>
        <c:lblAlgn val="ctr"/>
        <c:lblOffset val="100"/>
        <c:noMultiLvlLbl val="0"/>
      </c:catAx>
      <c:valAx>
        <c:axId val="86722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8672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hu-HU" b="1" baseline="0">
                <a:solidFill>
                  <a:schemeClr val="tx1"/>
                </a:solidFill>
              </a:rPr>
              <a:t>Hanyadik alkalommal látogatja a szabadtéri előadásait?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9"/>
              <c:layout>
                <c:manualLayout>
                  <c:x val="-2.7372475435637072E-2"/>
                  <c:y val="0.102869663031251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5-4008-9FDB-54D9767881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Munka6!$A$92:$A$101</c:f>
              <c:strCache>
                <c:ptCount val="10"/>
                <c:pt idx="0">
                  <c:v>először</c:v>
                </c:pt>
                <c:pt idx="1">
                  <c:v>másodszor</c:v>
                </c:pt>
                <c:pt idx="2">
                  <c:v>harmadszor</c:v>
                </c:pt>
                <c:pt idx="3">
                  <c:v>negyedszer</c:v>
                </c:pt>
                <c:pt idx="4">
                  <c:v>ötödször</c:v>
                </c:pt>
                <c:pt idx="5">
                  <c:v>hatodszor</c:v>
                </c:pt>
                <c:pt idx="6">
                  <c:v>hetedszer</c:v>
                </c:pt>
                <c:pt idx="7">
                  <c:v>nyolcadszor</c:v>
                </c:pt>
                <c:pt idx="8">
                  <c:v>kilencedszer</c:v>
                </c:pt>
                <c:pt idx="9">
                  <c:v>ennél is többedszer</c:v>
                </c:pt>
              </c:strCache>
            </c:strRef>
          </c:cat>
          <c:val>
            <c:numRef>
              <c:f>Munka6!$B$92:$B$101</c:f>
              <c:numCache>
                <c:formatCode>General</c:formatCode>
                <c:ptCount val="10"/>
                <c:pt idx="0">
                  <c:v>21.6</c:v>
                </c:pt>
                <c:pt idx="1">
                  <c:v>11.1</c:v>
                </c:pt>
                <c:pt idx="2">
                  <c:v>9.5</c:v>
                </c:pt>
                <c:pt idx="3">
                  <c:v>7.3</c:v>
                </c:pt>
                <c:pt idx="4">
                  <c:v>8.5</c:v>
                </c:pt>
                <c:pt idx="5">
                  <c:v>6.3</c:v>
                </c:pt>
                <c:pt idx="6">
                  <c:v>3.2</c:v>
                </c:pt>
                <c:pt idx="7">
                  <c:v>2.7</c:v>
                </c:pt>
                <c:pt idx="8">
                  <c:v>0.70000000000000007</c:v>
                </c:pt>
                <c:pt idx="9">
                  <c:v>27.7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95-4008-9FDB-54D9767881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6759680"/>
        <c:axId val="86761472"/>
      </c:barChart>
      <c:catAx>
        <c:axId val="86759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6761472"/>
        <c:crosses val="autoZero"/>
        <c:auto val="1"/>
        <c:lblAlgn val="ctr"/>
        <c:lblOffset val="100"/>
        <c:noMultiLvlLbl val="0"/>
      </c:catAx>
      <c:valAx>
        <c:axId val="867614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8675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/>
                </a:solidFill>
                <a:latin typeface="+mj-lt"/>
                <a:ea typeface="+mj-ea"/>
                <a:cs typeface="+mj-cs"/>
              </a:defRPr>
            </a:pPr>
            <a:r>
              <a:rPr lang="hu-HU" sz="1400" b="1" baseline="0">
                <a:solidFill>
                  <a:schemeClr val="tx1"/>
                </a:solidFill>
              </a:rPr>
              <a:t>Hány napot tölt Szegeden?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/>
              </a:solidFill>
              <a:latin typeface="+mj-lt"/>
              <a:ea typeface="+mj-ea"/>
              <a:cs typeface="+mj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Munka5!$A$1:$A$5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többet</c:v>
                </c:pt>
              </c:strCache>
            </c:strRef>
          </c:cat>
          <c:val>
            <c:numRef>
              <c:f>Munka5!$B$1:$B$5</c:f>
              <c:numCache>
                <c:formatCode>General</c:formatCode>
                <c:ptCount val="5"/>
                <c:pt idx="0">
                  <c:v>56</c:v>
                </c:pt>
                <c:pt idx="1">
                  <c:v>22.3</c:v>
                </c:pt>
                <c:pt idx="2">
                  <c:v>15.5</c:v>
                </c:pt>
                <c:pt idx="3">
                  <c:v>4.3</c:v>
                </c:pt>
                <c:pt idx="4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5-4DDC-A6A2-67FFDEAFE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86810624"/>
        <c:axId val="86812160"/>
      </c:barChart>
      <c:catAx>
        <c:axId val="8681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6812160"/>
        <c:crosses val="autoZero"/>
        <c:auto val="1"/>
        <c:lblAlgn val="ctr"/>
        <c:lblOffset val="100"/>
        <c:noMultiLvlLbl val="0"/>
      </c:catAx>
      <c:valAx>
        <c:axId val="8681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681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hu-HU" b="1" baseline="0">
                <a:solidFill>
                  <a:schemeClr val="tx1"/>
                </a:solidFill>
              </a:rPr>
              <a:t>Hány éjszakát tölt Szegeden?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Munka5!$A$20:$A$25</c:f>
              <c:strCach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többet</c:v>
                </c:pt>
              </c:strCache>
            </c:strRef>
          </c:cat>
          <c:val>
            <c:numRef>
              <c:f>Munka5!$B$20:$B$25</c:f>
              <c:numCache>
                <c:formatCode>General</c:formatCode>
                <c:ptCount val="6"/>
                <c:pt idx="0">
                  <c:v>43.9</c:v>
                </c:pt>
                <c:pt idx="1">
                  <c:v>32.300000000000011</c:v>
                </c:pt>
                <c:pt idx="2">
                  <c:v>16.2</c:v>
                </c:pt>
                <c:pt idx="3">
                  <c:v>5.2</c:v>
                </c:pt>
                <c:pt idx="4">
                  <c:v>0.60000000000000009</c:v>
                </c:pt>
                <c:pt idx="5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B8-4776-BF1C-AD1F2D610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853120"/>
        <c:axId val="86854656"/>
      </c:barChart>
      <c:catAx>
        <c:axId val="8685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6854656"/>
        <c:crosses val="autoZero"/>
        <c:auto val="1"/>
        <c:lblAlgn val="ctr"/>
        <c:lblOffset val="100"/>
        <c:noMultiLvlLbl val="0"/>
      </c:catAx>
      <c:valAx>
        <c:axId val="868546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8685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hu-HU" b="1" i="0" baseline="0">
                <a:solidFill>
                  <a:schemeClr val="tx1"/>
                </a:solidFill>
              </a:rPr>
              <a:t>Műfajok kedveltsége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Munka10!$A$1:$A$9</c:f>
              <c:strCache>
                <c:ptCount val="9"/>
                <c:pt idx="0">
                  <c:v>Musical kedveltsége</c:v>
                </c:pt>
                <c:pt idx="1">
                  <c:v>Vígjáték kedveltsége</c:v>
                </c:pt>
                <c:pt idx="2">
                  <c:v>Néptánc kedveltsége</c:v>
                </c:pt>
                <c:pt idx="3">
                  <c:v>Operett kedveltsége</c:v>
                </c:pt>
                <c:pt idx="4">
                  <c:v>Klasszikus dráma kedveltsége</c:v>
                </c:pt>
                <c:pt idx="5">
                  <c:v>Opera kedveltsége</c:v>
                </c:pt>
                <c:pt idx="6">
                  <c:v>Modern dráma kedveltsége</c:v>
                </c:pt>
                <c:pt idx="7">
                  <c:v>Klasszikus balett kedveltsége</c:v>
                </c:pt>
                <c:pt idx="8">
                  <c:v>Modern balett kedveltsége</c:v>
                </c:pt>
              </c:strCache>
            </c:strRef>
          </c:cat>
          <c:val>
            <c:numRef>
              <c:f>Munka10!$B$1:$B$9</c:f>
              <c:numCache>
                <c:formatCode>General</c:formatCode>
                <c:ptCount val="9"/>
                <c:pt idx="0">
                  <c:v>4.6199999999999992</c:v>
                </c:pt>
                <c:pt idx="1">
                  <c:v>4.5</c:v>
                </c:pt>
                <c:pt idx="2">
                  <c:v>3.75</c:v>
                </c:pt>
                <c:pt idx="3">
                  <c:v>3.59</c:v>
                </c:pt>
                <c:pt idx="4">
                  <c:v>3.4899999999999998</c:v>
                </c:pt>
                <c:pt idx="5">
                  <c:v>3.2600000000000002</c:v>
                </c:pt>
                <c:pt idx="6">
                  <c:v>3.08</c:v>
                </c:pt>
                <c:pt idx="7">
                  <c:v>3.04</c:v>
                </c:pt>
                <c:pt idx="8">
                  <c:v>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A4-424D-94FE-0B195D70E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3880320"/>
        <c:axId val="93881856"/>
      </c:barChart>
      <c:catAx>
        <c:axId val="9388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93881856"/>
        <c:crosses val="autoZero"/>
        <c:auto val="1"/>
        <c:lblAlgn val="ctr"/>
        <c:lblOffset val="100"/>
        <c:noMultiLvlLbl val="0"/>
      </c:catAx>
      <c:valAx>
        <c:axId val="938818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9388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hu-HU" b="1" i="0" baseline="0">
                <a:solidFill>
                  <a:schemeClr val="tx1"/>
                </a:solidFill>
              </a:rPr>
              <a:t>Kulturális események látogatásának gyakorisága (mobilitás) az 1-5 skálán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Munka6!$A$39:$A$44</c:f>
              <c:strCache>
                <c:ptCount val="6"/>
                <c:pt idx="0">
                  <c:v>Milyen rendszerességgel jár Ön színházba?</c:v>
                </c:pt>
                <c:pt idx="1">
                  <c:v>Milyen rendszerességgel jár Ön komolyzenei hangversenyre?</c:v>
                </c:pt>
                <c:pt idx="2">
                  <c:v>Milyen rendszerességgel jár Ön pop-, rock-koncertre?</c:v>
                </c:pt>
                <c:pt idx="3">
                  <c:v>Milyen rendszerességgel jár Ön más zenés rendezvényre?</c:v>
                </c:pt>
                <c:pt idx="4">
                  <c:v>Milyen rendszerességgel jár Ön kiállításra?</c:v>
                </c:pt>
                <c:pt idx="5">
                  <c:v>Milyen rendszerességgel jár Ön alkalmi kulturális eseményekre?</c:v>
                </c:pt>
              </c:strCache>
            </c:strRef>
          </c:cat>
          <c:val>
            <c:numRef>
              <c:f>Munka6!$B$39:$B$44</c:f>
              <c:numCache>
                <c:formatCode>General</c:formatCode>
                <c:ptCount val="6"/>
                <c:pt idx="0">
                  <c:v>3.6</c:v>
                </c:pt>
                <c:pt idx="1">
                  <c:v>2.2999999999999998</c:v>
                </c:pt>
                <c:pt idx="2">
                  <c:v>2.6</c:v>
                </c:pt>
                <c:pt idx="3">
                  <c:v>2.8</c:v>
                </c:pt>
                <c:pt idx="4">
                  <c:v>3</c:v>
                </c:pt>
                <c:pt idx="5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B0-44D2-B21B-2387F65F3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3304704"/>
        <c:axId val="93306240"/>
      </c:barChart>
      <c:catAx>
        <c:axId val="93304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93306240"/>
        <c:crosses val="autoZero"/>
        <c:auto val="1"/>
        <c:lblAlgn val="ctr"/>
        <c:lblOffset val="100"/>
        <c:noMultiLvlLbl val="0"/>
      </c:catAx>
      <c:valAx>
        <c:axId val="933062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9330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1">
                <a:solidFill>
                  <a:sysClr val="windowText" lastClr="000000"/>
                </a:solidFill>
              </a:rPr>
              <a:t>Elégedettség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Munka6!$A$38:$A$45</c:f>
              <c:strCache>
                <c:ptCount val="8"/>
                <c:pt idx="0">
                  <c:v>A fesztivállal összességében</c:v>
                </c:pt>
                <c:pt idx="1">
                  <c:v>Az előadások színvonalával</c:v>
                </c:pt>
                <c:pt idx="2">
                  <c:v>Konkrétan a mai előadással</c:v>
                </c:pt>
                <c:pt idx="3">
                  <c:v>A szervezéssel</c:v>
                </c:pt>
                <c:pt idx="4">
                  <c:v>Az előadások mennyiségével</c:v>
                </c:pt>
                <c:pt idx="5">
                  <c:v>Az információszolgáltatással </c:v>
                </c:pt>
                <c:pt idx="6">
                  <c:v>A szolgáltatásokkal, infrastruktúrával</c:v>
                </c:pt>
                <c:pt idx="7">
                  <c:v>A higiéniával</c:v>
                </c:pt>
              </c:strCache>
            </c:strRef>
          </c:cat>
          <c:val>
            <c:numRef>
              <c:f>Munka6!$B$38:$B$45</c:f>
              <c:numCache>
                <c:formatCode>General</c:formatCode>
                <c:ptCount val="8"/>
                <c:pt idx="0">
                  <c:v>4.78</c:v>
                </c:pt>
                <c:pt idx="1">
                  <c:v>4.7699999999999996</c:v>
                </c:pt>
                <c:pt idx="2">
                  <c:v>4.7699999999999996</c:v>
                </c:pt>
                <c:pt idx="3">
                  <c:v>4.75</c:v>
                </c:pt>
                <c:pt idx="4">
                  <c:v>4.74</c:v>
                </c:pt>
                <c:pt idx="5">
                  <c:v>4.74</c:v>
                </c:pt>
                <c:pt idx="6">
                  <c:v>4.68</c:v>
                </c:pt>
                <c:pt idx="7">
                  <c:v>4.6199999999999992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3-49FC-A440-0E7C282E0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273344"/>
        <c:axId val="952748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Munka6!$A$38:$A$45</c15:sqref>
                        </c15:formulaRef>
                      </c:ext>
                    </c:extLst>
                    <c:strCache>
                      <c:ptCount val="8"/>
                      <c:pt idx="0">
                        <c:v>A fesztivállal összességében</c:v>
                      </c:pt>
                      <c:pt idx="1">
                        <c:v>Az előadások színvonalával</c:v>
                      </c:pt>
                      <c:pt idx="2">
                        <c:v>Konkrétan a mai előadással</c:v>
                      </c:pt>
                      <c:pt idx="3">
                        <c:v>A szervezéssel</c:v>
                      </c:pt>
                      <c:pt idx="4">
                        <c:v>Az előadások mennyiségével</c:v>
                      </c:pt>
                      <c:pt idx="5">
                        <c:v>Az információszolgáltatással </c:v>
                      </c:pt>
                      <c:pt idx="6">
                        <c:v>A szolgáltatásokkal, infrastruktúrával</c:v>
                      </c:pt>
                      <c:pt idx="7">
                        <c:v>A higiéniával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Munka6!$C$38:$C$45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633-49FC-A440-0E7C282E016E}"/>
                  </c:ext>
                </c:extLst>
              </c15:ser>
            </c15:filteredBarSeries>
          </c:ext>
        </c:extLst>
      </c:barChart>
      <c:catAx>
        <c:axId val="9527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95274880"/>
        <c:crosses val="autoZero"/>
        <c:auto val="1"/>
        <c:lblAlgn val="ctr"/>
        <c:lblOffset val="100"/>
        <c:noMultiLvlLbl val="0"/>
      </c:catAx>
      <c:valAx>
        <c:axId val="952748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9527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1">
                <a:solidFill>
                  <a:sysClr val="windowText" lastClr="000000"/>
                </a:solidFill>
              </a:rPr>
              <a:t>Helyi költés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Munka8!$A$40</c:f>
              <c:strCache>
                <c:ptCount val="1"/>
                <c:pt idx="0">
                  <c:v>helyi költés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8"/>
              <c:layout>
                <c:manualLayout>
                  <c:x val="0"/>
                  <c:y val="-2.77777777777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F4-45C6-BC34-BEABF9E981DF}"/>
                </c:ext>
              </c:extLst>
            </c:dLbl>
            <c:dLbl>
              <c:idx val="12"/>
              <c:layout>
                <c:manualLayout>
                  <c:x val="5.5555555555555558E-3"/>
                  <c:y val="-1.38888888888888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F4-45C6-BC34-BEABF9E981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Munka8!$B$39:$N$39</c:f>
              <c:numCache>
                <c:formatCode>General</c:formatCode>
                <c:ptCount val="13"/>
                <c:pt idx="0">
                  <c:v>2006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Munka8!$B$40:$N$40</c:f>
              <c:numCache>
                <c:formatCode>General</c:formatCode>
                <c:ptCount val="13"/>
                <c:pt idx="0">
                  <c:v>430.1</c:v>
                </c:pt>
                <c:pt idx="1">
                  <c:v>604.5</c:v>
                </c:pt>
                <c:pt idx="2">
                  <c:v>444.5</c:v>
                </c:pt>
                <c:pt idx="3">
                  <c:v>508</c:v>
                </c:pt>
                <c:pt idx="4">
                  <c:v>478.3</c:v>
                </c:pt>
                <c:pt idx="5">
                  <c:v>441.6</c:v>
                </c:pt>
                <c:pt idx="6">
                  <c:v>463.6</c:v>
                </c:pt>
                <c:pt idx="7">
                  <c:v>660.3</c:v>
                </c:pt>
                <c:pt idx="8">
                  <c:v>693.5</c:v>
                </c:pt>
                <c:pt idx="9">
                  <c:v>691.5</c:v>
                </c:pt>
                <c:pt idx="10">
                  <c:v>661.8</c:v>
                </c:pt>
                <c:pt idx="11">
                  <c:v>468.1</c:v>
                </c:pt>
                <c:pt idx="12">
                  <c:v>494.8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F4-45C6-BC34-BEABF9E98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428992"/>
        <c:axId val="9743052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Munka8!$A$41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Munka8!$B$39:$N$39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2006</c:v>
                      </c:pt>
                      <c:pt idx="1">
                        <c:v>2008</c:v>
                      </c:pt>
                      <c:pt idx="2">
                        <c:v>2009</c:v>
                      </c:pt>
                      <c:pt idx="3">
                        <c:v>2010</c:v>
                      </c:pt>
                      <c:pt idx="4">
                        <c:v>2011</c:v>
                      </c:pt>
                      <c:pt idx="5">
                        <c:v>2012</c:v>
                      </c:pt>
                      <c:pt idx="6">
                        <c:v>2013</c:v>
                      </c:pt>
                      <c:pt idx="7">
                        <c:v>2014</c:v>
                      </c:pt>
                      <c:pt idx="8">
                        <c:v>2015</c:v>
                      </c:pt>
                      <c:pt idx="9">
                        <c:v>2016</c:v>
                      </c:pt>
                      <c:pt idx="10">
                        <c:v>2017</c:v>
                      </c:pt>
                      <c:pt idx="11">
                        <c:v>2018</c:v>
                      </c:pt>
                      <c:pt idx="12">
                        <c:v>2019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Munka8!$B$41:$N$41</c15:sqref>
                        </c15:formulaRef>
                      </c:ext>
                    </c:extLst>
                    <c:numCache>
                      <c:formatCode>General</c:formatCode>
                      <c:ptCount val="1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1F4-45C6-BC34-BEABF9E981DF}"/>
                  </c:ext>
                </c:extLst>
              </c15:ser>
            </c15:filteredBarSeries>
          </c:ext>
        </c:extLst>
      </c:barChart>
      <c:catAx>
        <c:axId val="9742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97430528"/>
        <c:crosses val="autoZero"/>
        <c:auto val="1"/>
        <c:lblAlgn val="ctr"/>
        <c:lblOffset val="100"/>
        <c:noMultiLvlLbl val="0"/>
      </c:catAx>
      <c:valAx>
        <c:axId val="974305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9742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B02C-299C-4588-92C6-E9585AF2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2429</Words>
  <Characters>16764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Bernadett Izsák</cp:lastModifiedBy>
  <cp:revision>8</cp:revision>
  <cp:lastPrinted>2020-12-08T14:54:00Z</cp:lastPrinted>
  <dcterms:created xsi:type="dcterms:W3CDTF">2020-12-08T15:03:00Z</dcterms:created>
  <dcterms:modified xsi:type="dcterms:W3CDTF">2020-12-09T08:27:00Z</dcterms:modified>
</cp:coreProperties>
</file>